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A9C" w:rsidRPr="00ED7F28" w:rsidRDefault="00E95C8E">
      <w:pPr>
        <w:jc w:val="right"/>
        <w:rPr>
          <w:rFonts w:ascii="Times New Roman" w:hAnsi="Times New Roman" w:cs="Times New Roman"/>
          <w:b/>
          <w:sz w:val="24"/>
          <w:szCs w:val="24"/>
        </w:rPr>
      </w:pPr>
      <w:r w:rsidRPr="00ED7F28">
        <w:rPr>
          <w:noProof/>
          <w:lang w:val="en-US"/>
        </w:rPr>
        <w:drawing>
          <wp:anchor distT="0" distB="0" distL="114300" distR="114300" simplePos="0" relativeHeight="251659264" behindDoc="0" locked="0" layoutInCell="0" allowOverlap="1" wp14:anchorId="541DBFEF" wp14:editId="14592126">
            <wp:simplePos x="0" y="0"/>
            <wp:positionH relativeFrom="column">
              <wp:posOffset>5311681</wp:posOffset>
            </wp:positionH>
            <wp:positionV relativeFrom="paragraph">
              <wp:posOffset>-963608</wp:posOffset>
            </wp:positionV>
            <wp:extent cx="838835" cy="770596"/>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pic:cNvPicPr>
                      <a:picLocks noChangeAspect="1" noChangeArrowheads="1"/>
                    </pic:cNvPicPr>
                  </pic:nvPicPr>
                  <pic:blipFill>
                    <a:blip r:embed="rId8"/>
                    <a:stretch>
                      <a:fillRect/>
                    </a:stretch>
                  </pic:blipFill>
                  <pic:spPr bwMode="auto">
                    <a:xfrm>
                      <a:off x="0" y="0"/>
                      <a:ext cx="838835" cy="770596"/>
                    </a:xfrm>
                    <a:prstGeom prst="rect">
                      <a:avLst/>
                    </a:prstGeom>
                  </pic:spPr>
                </pic:pic>
              </a:graphicData>
            </a:graphic>
            <wp14:sizeRelH relativeFrom="margin">
              <wp14:pctWidth>0</wp14:pctWidth>
            </wp14:sizeRelH>
            <wp14:sizeRelV relativeFrom="margin">
              <wp14:pctHeight>0</wp14:pctHeight>
            </wp14:sizeRelV>
          </wp:anchor>
        </w:drawing>
      </w:r>
      <w:r w:rsidRPr="00ED7F28">
        <w:rPr>
          <w:rFonts w:ascii="Times New Roman" w:hAnsi="Times New Roman" w:cs="Times New Roman"/>
          <w:b/>
          <w:sz w:val="24"/>
          <w:szCs w:val="24"/>
        </w:rPr>
        <w:t>Приложение 3</w:t>
      </w:r>
      <w:r w:rsidR="00030033" w:rsidRPr="00ED7F28">
        <w:rPr>
          <w:rFonts w:ascii="Times New Roman" w:hAnsi="Times New Roman" w:cs="Times New Roman"/>
          <w:b/>
          <w:sz w:val="24"/>
          <w:szCs w:val="24"/>
        </w:rPr>
        <w:t>Б</w:t>
      </w:r>
    </w:p>
    <w:p w:rsidR="008D4A9C" w:rsidRPr="00ED7F28" w:rsidRDefault="00030033" w:rsidP="00E95C8E">
      <w:pPr>
        <w:pStyle w:val="Heading1"/>
        <w:spacing w:before="120" w:after="120"/>
        <w:ind w:left="720"/>
        <w:jc w:val="both"/>
        <w:rPr>
          <w:rFonts w:ascii="Times New Roman" w:hAnsi="Times New Roman"/>
          <w:color w:val="auto"/>
          <w:sz w:val="24"/>
          <w:szCs w:val="24"/>
          <w:lang w:val="bg-BG"/>
        </w:rPr>
      </w:pPr>
      <w:r w:rsidRPr="00ED7F28">
        <w:rPr>
          <w:rFonts w:ascii="Times New Roman" w:hAnsi="Times New Roman"/>
          <w:color w:val="auto"/>
          <w:sz w:val="24"/>
          <w:szCs w:val="24"/>
          <w:lang w:val="bg-BG"/>
        </w:rPr>
        <w:t>ИЗИСКВАНИЯ, СВЪРЗАНИ С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w:t>
      </w:r>
    </w:p>
    <w:p w:rsidR="008D4A9C" w:rsidRPr="00ED7F28" w:rsidRDefault="008D4A9C">
      <w:pPr>
        <w:pStyle w:val="Heading1"/>
        <w:spacing w:before="120" w:after="120"/>
        <w:ind w:left="720"/>
        <w:jc w:val="both"/>
        <w:rPr>
          <w:rStyle w:val="CommentReference"/>
          <w:rFonts w:ascii="Times New Roman" w:hAnsi="Times New Roman"/>
          <w:color w:val="auto"/>
          <w:sz w:val="24"/>
          <w:szCs w:val="24"/>
          <w:lang w:val="bg-BG"/>
        </w:rPr>
      </w:pPr>
    </w:p>
    <w:p w:rsidR="008D4A9C" w:rsidRPr="00ED7F28" w:rsidRDefault="00030033" w:rsidP="007E6ABC">
      <w:pPr>
        <w:pStyle w:val="Heading1"/>
        <w:numPr>
          <w:ilvl w:val="0"/>
          <w:numId w:val="7"/>
        </w:numPr>
        <w:spacing w:before="120" w:after="120"/>
        <w:jc w:val="both"/>
        <w:rPr>
          <w:rStyle w:val="CommentReference"/>
          <w:rFonts w:ascii="Times New Roman" w:hAnsi="Times New Roman"/>
          <w:color w:val="auto"/>
          <w:sz w:val="24"/>
          <w:szCs w:val="24"/>
          <w:lang w:val="bg-BG"/>
        </w:rPr>
      </w:pPr>
      <w:r w:rsidRPr="00ED7F28">
        <w:rPr>
          <w:rStyle w:val="CommentReference"/>
          <w:rFonts w:ascii="Times New Roman" w:hAnsi="Times New Roman"/>
          <w:color w:val="auto"/>
          <w:sz w:val="24"/>
          <w:szCs w:val="24"/>
          <w:lang w:val="bg-BG"/>
        </w:rPr>
        <w:t>Въведение</w:t>
      </w:r>
    </w:p>
    <w:p w:rsidR="008D4A9C" w:rsidRPr="00ED7F28" w:rsidRDefault="00030033">
      <w:pPr>
        <w:spacing w:before="120" w:after="120"/>
        <w:jc w:val="both"/>
        <w:rPr>
          <w:rFonts w:ascii="Times New Roman" w:hAnsi="Times New Roman"/>
          <w:sz w:val="24"/>
          <w:szCs w:val="24"/>
        </w:rPr>
      </w:pPr>
      <w:r w:rsidRPr="00ED7F28">
        <w:rPr>
          <w:rFonts w:ascii="Times New Roman" w:hAnsi="Times New Roman"/>
          <w:sz w:val="24"/>
          <w:szCs w:val="24"/>
        </w:rPr>
        <w:t xml:space="preserve">Настоящите изисквания (схема) са разработени във връзка с процедура чрез подбор на проектни предложения </w:t>
      </w:r>
      <w:r w:rsidRPr="00ED7F28">
        <w:rPr>
          <w:rFonts w:ascii="Times New Roman" w:hAnsi="Times New Roman"/>
          <w:b/>
          <w:sz w:val="24"/>
          <w:szCs w:val="24"/>
        </w:rPr>
        <w:t>BG16FFPR003-4.004 „Диверсификация и адаптиране на малки и средни предприятия към икономическия преход“</w:t>
      </w:r>
      <w:r w:rsidRPr="00ED7F28">
        <w:rPr>
          <w:rFonts w:ascii="Times New Roman" w:hAnsi="Times New Roman"/>
          <w:sz w:val="24"/>
          <w:szCs w:val="24"/>
        </w:rPr>
        <w:t xml:space="preserve"> на ПРР 2014-2020.</w:t>
      </w:r>
    </w:p>
    <w:tbl>
      <w:tblPr>
        <w:tblW w:w="9889" w:type="dxa"/>
        <w:tblLayout w:type="fixed"/>
        <w:tblLook w:val="0000" w:firstRow="0" w:lastRow="0" w:firstColumn="0" w:lastColumn="0" w:noHBand="0" w:noVBand="0"/>
      </w:tblPr>
      <w:tblGrid>
        <w:gridCol w:w="9639"/>
        <w:gridCol w:w="250"/>
      </w:tblGrid>
      <w:tr w:rsidR="008D4A9C" w:rsidRPr="00ED7F28">
        <w:trPr>
          <w:trHeight w:val="142"/>
        </w:trPr>
        <w:tc>
          <w:tcPr>
            <w:tcW w:w="9638" w:type="dxa"/>
            <w:shd w:val="clear" w:color="auto" w:fill="auto"/>
            <w:vAlign w:val="center"/>
          </w:tcPr>
          <w:p w:rsidR="008D4A9C" w:rsidRPr="00ED7F28" w:rsidRDefault="00030033">
            <w:pPr>
              <w:widowControl w:val="0"/>
              <w:spacing w:before="120" w:after="120"/>
              <w:jc w:val="both"/>
              <w:rPr>
                <w:rFonts w:ascii="Times New Roman" w:hAnsi="Times New Roman"/>
                <w:sz w:val="24"/>
                <w:szCs w:val="24"/>
              </w:rPr>
            </w:pPr>
            <w:r w:rsidRPr="00ED7F28">
              <w:rPr>
                <w:rFonts w:ascii="Times New Roman" w:hAnsi="Times New Roman"/>
                <w:sz w:val="24"/>
                <w:szCs w:val="24"/>
              </w:rPr>
              <w:t>Настоящите изисквания са неразделна част от Насоките за кандидатстване по процедура BG16FFPR003-4.004 „Диверсификация и адаптиране на малки и средни предприятия към икономическия преход“</w:t>
            </w:r>
          </w:p>
          <w:p w:rsidR="008D4A9C" w:rsidRPr="00ED7F28" w:rsidRDefault="00030033">
            <w:pPr>
              <w:widowControl w:val="0"/>
              <w:spacing w:before="120" w:after="120"/>
              <w:jc w:val="both"/>
              <w:rPr>
                <w:rFonts w:ascii="Times New Roman" w:hAnsi="Times New Roman"/>
                <w:b/>
                <w:sz w:val="24"/>
                <w:szCs w:val="24"/>
              </w:rPr>
            </w:pPr>
            <w:r w:rsidRPr="00ED7F28">
              <w:rPr>
                <w:rFonts w:ascii="Times New Roman" w:hAnsi="Times New Roman"/>
                <w:b/>
                <w:sz w:val="24"/>
                <w:szCs w:val="24"/>
              </w:rPr>
              <w:t>Срокът на действие на Регламент (ЕС) № 651/2014 за обявяване на някои категории помощи за съвместими с вътрешния пазар в приложение на членове 107 и 108 от Договора е до 31.12.2026 г. В тази връзка влизане в сила на административния договор за предоставяне на безвъзмездна финансова помощ по настоящата процедура с режим на финансиране, съгласно чл. 31 от ОРГО не може да е след 31.12.2026 г.</w:t>
            </w:r>
          </w:p>
          <w:p w:rsidR="008D4A9C" w:rsidRPr="00ED7F28" w:rsidRDefault="00030033">
            <w:pPr>
              <w:widowControl w:val="0"/>
              <w:spacing w:before="120" w:after="120"/>
              <w:jc w:val="both"/>
              <w:rPr>
                <w:rFonts w:ascii="Times New Roman" w:hAnsi="Times New Roman"/>
                <w:b/>
                <w:sz w:val="24"/>
                <w:szCs w:val="24"/>
              </w:rPr>
            </w:pPr>
            <w:r w:rsidRPr="00ED7F28">
              <w:rPr>
                <w:rFonts w:ascii="Times New Roman" w:hAnsi="Times New Roman"/>
                <w:b/>
                <w:sz w:val="24"/>
                <w:szCs w:val="24"/>
              </w:rPr>
              <w:t xml:space="preserve">Общия бюджет на всички схеми </w:t>
            </w:r>
            <w:r w:rsidR="00FA0A5F" w:rsidRPr="00ED7F28">
              <w:rPr>
                <w:rFonts w:ascii="Times New Roman" w:hAnsi="Times New Roman"/>
                <w:b/>
                <w:sz w:val="24"/>
                <w:szCs w:val="24"/>
              </w:rPr>
              <w:t xml:space="preserve">по ОРГО не надхвърля сумата от </w:t>
            </w:r>
            <w:r w:rsidRPr="00ED7F28">
              <w:rPr>
                <w:rFonts w:ascii="Times New Roman" w:hAnsi="Times New Roman"/>
                <w:b/>
                <w:sz w:val="24"/>
                <w:szCs w:val="24"/>
              </w:rPr>
              <w:t xml:space="preserve">250 000 000 лева. </w:t>
            </w:r>
          </w:p>
          <w:p w:rsidR="008D4A9C" w:rsidRPr="00ED7F28" w:rsidRDefault="00030033">
            <w:pPr>
              <w:widowControl w:val="0"/>
              <w:spacing w:before="120" w:after="120"/>
              <w:jc w:val="both"/>
              <w:rPr>
                <w:rFonts w:ascii="Times New Roman" w:hAnsi="Times New Roman"/>
                <w:b/>
                <w:sz w:val="24"/>
                <w:szCs w:val="24"/>
              </w:rPr>
            </w:pPr>
            <w:r w:rsidRPr="00ED7F28">
              <w:rPr>
                <w:rFonts w:ascii="Times New Roman" w:hAnsi="Times New Roman"/>
                <w:b/>
                <w:sz w:val="24"/>
                <w:szCs w:val="24"/>
              </w:rPr>
              <w:t xml:space="preserve">Администратор на помощта е МРРБ. </w:t>
            </w:r>
          </w:p>
          <w:p w:rsidR="008D4A9C" w:rsidRPr="00ED7F28" w:rsidRDefault="008D4A9C">
            <w:pPr>
              <w:widowControl w:val="0"/>
              <w:spacing w:before="120" w:after="120"/>
              <w:jc w:val="both"/>
              <w:rPr>
                <w:rFonts w:ascii="Times New Roman" w:hAnsi="Times New Roman"/>
                <w:b/>
                <w:sz w:val="24"/>
                <w:szCs w:val="24"/>
              </w:rPr>
            </w:pPr>
          </w:p>
        </w:tc>
        <w:tc>
          <w:tcPr>
            <w:tcW w:w="250" w:type="dxa"/>
            <w:shd w:val="clear" w:color="auto" w:fill="auto"/>
            <w:vAlign w:val="center"/>
          </w:tcPr>
          <w:p w:rsidR="008D4A9C" w:rsidRPr="00ED7F28" w:rsidRDefault="00030033">
            <w:pPr>
              <w:widowControl w:val="0"/>
              <w:spacing w:before="120" w:after="120"/>
              <w:jc w:val="both"/>
              <w:rPr>
                <w:rFonts w:ascii="Times New Roman" w:hAnsi="Times New Roman"/>
                <w:sz w:val="24"/>
                <w:szCs w:val="24"/>
              </w:rPr>
            </w:pPr>
            <w:r w:rsidRPr="00ED7F28">
              <w:rPr>
                <w:rFonts w:ascii="Times New Roman" w:hAnsi="Times New Roman"/>
                <w:sz w:val="24"/>
                <w:szCs w:val="24"/>
              </w:rPr>
              <w:fldChar w:fldCharType="begin"/>
            </w:r>
            <w:r w:rsidRPr="00ED7F28">
              <w:rPr>
                <w:rFonts w:ascii="Times New Roman" w:hAnsi="Times New Roman"/>
                <w:sz w:val="24"/>
                <w:szCs w:val="24"/>
              </w:rPr>
              <w:instrText xml:space="preserve"> PAGE </w:instrText>
            </w:r>
            <w:r w:rsidRPr="00ED7F28">
              <w:rPr>
                <w:rFonts w:ascii="Times New Roman" w:hAnsi="Times New Roman"/>
                <w:sz w:val="24"/>
                <w:szCs w:val="24"/>
              </w:rPr>
              <w:fldChar w:fldCharType="separate"/>
            </w:r>
            <w:r w:rsidRPr="00ED7F28">
              <w:rPr>
                <w:rFonts w:ascii="Times New Roman" w:hAnsi="Times New Roman"/>
                <w:sz w:val="24"/>
                <w:szCs w:val="24"/>
              </w:rPr>
              <w:t>1</w:t>
            </w:r>
            <w:r w:rsidRPr="00ED7F28">
              <w:rPr>
                <w:rFonts w:ascii="Times New Roman" w:hAnsi="Times New Roman"/>
                <w:sz w:val="24"/>
                <w:szCs w:val="24"/>
              </w:rPr>
              <w:fldChar w:fldCharType="end"/>
            </w:r>
          </w:p>
          <w:p w:rsidR="008D4A9C" w:rsidRPr="00ED7F28" w:rsidRDefault="008D4A9C">
            <w:pPr>
              <w:widowControl w:val="0"/>
              <w:spacing w:before="120" w:after="120"/>
              <w:jc w:val="both"/>
              <w:rPr>
                <w:rFonts w:ascii="Times New Roman" w:hAnsi="Times New Roman"/>
                <w:sz w:val="24"/>
                <w:szCs w:val="24"/>
              </w:rPr>
            </w:pPr>
          </w:p>
        </w:tc>
      </w:tr>
    </w:tbl>
    <w:p w:rsidR="008D4A9C" w:rsidRPr="00ED7F28" w:rsidRDefault="00030033">
      <w:pPr>
        <w:spacing w:before="120" w:after="0" w:line="240" w:lineRule="auto"/>
        <w:jc w:val="both"/>
        <w:rPr>
          <w:rFonts w:ascii="Times New Roman" w:eastAsia="Calibri" w:hAnsi="Times New Roman" w:cs="Times New Roman"/>
          <w:bCs/>
          <w:sz w:val="24"/>
          <w:szCs w:val="24"/>
        </w:rPr>
      </w:pPr>
      <w:r w:rsidRPr="00ED7F28">
        <w:rPr>
          <w:rFonts w:ascii="Times New Roman" w:eastAsia="Calibri" w:hAnsi="Times New Roman" w:cs="Times New Roman"/>
          <w:bCs/>
          <w:sz w:val="24"/>
          <w:szCs w:val="24"/>
        </w:rPr>
        <w:t>Помощ</w:t>
      </w:r>
      <w:r w:rsidR="00FA0A5F" w:rsidRPr="00ED7F28">
        <w:rPr>
          <w:rFonts w:ascii="Times New Roman" w:eastAsia="Calibri" w:hAnsi="Times New Roman" w:cs="Times New Roman"/>
          <w:bCs/>
          <w:sz w:val="24"/>
          <w:szCs w:val="24"/>
        </w:rPr>
        <w:t>и</w:t>
      </w:r>
      <w:r w:rsidRPr="00ED7F28">
        <w:rPr>
          <w:rFonts w:ascii="Times New Roman" w:eastAsia="Calibri" w:hAnsi="Times New Roman" w:cs="Times New Roman"/>
          <w:bCs/>
          <w:sz w:val="24"/>
          <w:szCs w:val="24"/>
        </w:rPr>
        <w:t xml:space="preserve"> по процедура BG16FFPR003-4.004 „Диверсификация и адаптиране на малки и средни предприятия към икономическия преход“</w:t>
      </w:r>
      <w:r w:rsidR="00FA0A5F" w:rsidRPr="00ED7F28">
        <w:rPr>
          <w:rFonts w:ascii="Times New Roman" w:eastAsia="Calibri" w:hAnsi="Times New Roman" w:cs="Times New Roman"/>
          <w:bCs/>
          <w:sz w:val="24"/>
          <w:szCs w:val="24"/>
        </w:rPr>
        <w:t xml:space="preserve"> могат да</w:t>
      </w:r>
      <w:r w:rsidRPr="00ED7F28">
        <w:rPr>
          <w:rFonts w:ascii="Times New Roman" w:eastAsia="Calibri" w:hAnsi="Times New Roman" w:cs="Times New Roman"/>
          <w:bCs/>
          <w:sz w:val="24"/>
          <w:szCs w:val="24"/>
        </w:rPr>
        <w:t xml:space="preserve"> се предоставя при условията на: </w:t>
      </w:r>
    </w:p>
    <w:p w:rsidR="008D4A9C" w:rsidRPr="00ED7F28" w:rsidRDefault="00030033"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 xml:space="preserve">„Регионална инвестиционна помощ“ съгласно чл. 13 и чл. 14 от Регламент (ЕС) № 651/2014 на Комисията </w:t>
      </w:r>
      <w:r w:rsidR="00843611" w:rsidRPr="00ED7F28">
        <w:rPr>
          <w:rFonts w:ascii="Times New Roman" w:eastAsia="Calibri" w:hAnsi="Times New Roman" w:cs="Times New Roman"/>
          <w:b/>
          <w:bCs/>
          <w:sz w:val="24"/>
          <w:szCs w:val="24"/>
        </w:rPr>
        <w:t>(OB L 187/26.06.2014);</w:t>
      </w:r>
    </w:p>
    <w:p w:rsidR="00FA0A5F" w:rsidRPr="00ED7F28" w:rsidRDefault="00FA0A5F"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 xml:space="preserve"> „Помощи за консултантски услуги в полза на МСП“ съгласно член 18 от Регламент (ЕС) № 651/2014 на Комисията</w:t>
      </w:r>
    </w:p>
    <w:p w:rsidR="00843611" w:rsidRPr="00ED7F28" w:rsidRDefault="00843611"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„Помощи за стартиращи предприятия“ съгласно чл. 22 от Регламент (ЕС) № 651/2014 на Комисията ;</w:t>
      </w:r>
    </w:p>
    <w:p w:rsidR="008D4A9C" w:rsidRPr="00ED7F28" w:rsidRDefault="00030033"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 xml:space="preserve">„Помощи за иновации в полза на МСП“ </w:t>
      </w:r>
      <w:r w:rsidR="00072E21" w:rsidRPr="00ED7F28">
        <w:rPr>
          <w:rFonts w:ascii="Times New Roman" w:eastAsia="Calibri" w:hAnsi="Times New Roman" w:cs="Times New Roman"/>
          <w:b/>
          <w:bCs/>
          <w:sz w:val="24"/>
          <w:szCs w:val="24"/>
        </w:rPr>
        <w:t>съгласно чл. 28, пар. 2, буква</w:t>
      </w:r>
      <w:r w:rsidRPr="00ED7F28">
        <w:rPr>
          <w:rFonts w:ascii="Times New Roman" w:eastAsia="Calibri" w:hAnsi="Times New Roman" w:cs="Times New Roman"/>
          <w:b/>
          <w:bCs/>
          <w:sz w:val="24"/>
          <w:szCs w:val="24"/>
        </w:rPr>
        <w:t xml:space="preserve"> </w:t>
      </w:r>
      <w:r w:rsidR="00045546" w:rsidRPr="00ED7F28">
        <w:rPr>
          <w:rFonts w:ascii="Times New Roman" w:eastAsia="Calibri" w:hAnsi="Times New Roman" w:cs="Times New Roman"/>
          <w:b/>
          <w:bCs/>
          <w:sz w:val="24"/>
          <w:szCs w:val="24"/>
        </w:rPr>
        <w:t xml:space="preserve">а), б) и </w:t>
      </w:r>
      <w:r w:rsidRPr="00ED7F28">
        <w:rPr>
          <w:rFonts w:ascii="Times New Roman" w:eastAsia="Calibri" w:hAnsi="Times New Roman" w:cs="Times New Roman"/>
          <w:b/>
          <w:bCs/>
          <w:sz w:val="24"/>
          <w:szCs w:val="24"/>
        </w:rPr>
        <w:t xml:space="preserve">в) от Регламент (ЕС) № 651/2014 </w:t>
      </w:r>
    </w:p>
    <w:p w:rsidR="00843611" w:rsidRPr="00ED7F28" w:rsidRDefault="00843611"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 xml:space="preserve">„Помощи за обучение“ съгласно чл.31 на </w:t>
      </w:r>
      <w:r w:rsidR="00FA0A5F" w:rsidRPr="00ED7F28">
        <w:rPr>
          <w:rFonts w:ascii="Times New Roman" w:eastAsia="Calibri" w:hAnsi="Times New Roman" w:cs="Times New Roman"/>
          <w:b/>
          <w:bCs/>
          <w:sz w:val="24"/>
          <w:szCs w:val="24"/>
        </w:rPr>
        <w:t xml:space="preserve">Регламент (ЕС) № 651/2014 на Комисията </w:t>
      </w:r>
    </w:p>
    <w:p w:rsidR="00843611" w:rsidRPr="00ED7F28" w:rsidRDefault="00843611"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 xml:space="preserve">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съгласно чл. 41 от Регламент (ЕС) № 651/2014 на Комисията </w:t>
      </w:r>
    </w:p>
    <w:p w:rsidR="00FA0A5F" w:rsidRPr="00ED7F28" w:rsidRDefault="00843611" w:rsidP="00FA0A5F">
      <w:pPr>
        <w:pStyle w:val="ListParagraph"/>
        <w:numPr>
          <w:ilvl w:val="0"/>
          <w:numId w:val="6"/>
        </w:numPr>
        <w:spacing w:before="120"/>
        <w:ind w:left="714" w:hanging="357"/>
        <w:jc w:val="both"/>
        <w:rPr>
          <w:rFonts w:ascii="Times New Roman" w:eastAsia="Calibri" w:hAnsi="Times New Roman" w:cs="Times New Roman"/>
          <w:b/>
          <w:bCs/>
          <w:sz w:val="24"/>
          <w:szCs w:val="24"/>
        </w:rPr>
      </w:pPr>
      <w:r w:rsidRPr="00ED7F28">
        <w:rPr>
          <w:rFonts w:ascii="Times New Roman" w:eastAsia="Calibri" w:hAnsi="Times New Roman" w:cs="Times New Roman"/>
          <w:b/>
          <w:bCs/>
          <w:sz w:val="24"/>
          <w:szCs w:val="24"/>
        </w:rPr>
        <w:t>„Инвестиционни помощи за ефективност на ресурсите и за подпомагане на прехода към кръгова икономика“ съгласно чл. 4</w:t>
      </w:r>
      <w:r w:rsidR="008D79BC" w:rsidRPr="00ED7F28">
        <w:rPr>
          <w:rFonts w:ascii="Times New Roman" w:eastAsia="Calibri" w:hAnsi="Times New Roman" w:cs="Times New Roman"/>
          <w:b/>
          <w:bCs/>
          <w:sz w:val="24"/>
          <w:szCs w:val="24"/>
        </w:rPr>
        <w:t>7</w:t>
      </w:r>
      <w:r w:rsidRPr="00ED7F28">
        <w:rPr>
          <w:rFonts w:ascii="Times New Roman" w:eastAsia="Calibri" w:hAnsi="Times New Roman" w:cs="Times New Roman"/>
          <w:b/>
          <w:bCs/>
          <w:sz w:val="24"/>
          <w:szCs w:val="24"/>
        </w:rPr>
        <w:t xml:space="preserve"> от</w:t>
      </w:r>
      <w:r w:rsidR="008D79BC" w:rsidRPr="00ED7F28">
        <w:rPr>
          <w:rFonts w:ascii="Times New Roman" w:eastAsia="Calibri" w:hAnsi="Times New Roman" w:cs="Times New Roman"/>
          <w:b/>
          <w:bCs/>
          <w:sz w:val="24"/>
          <w:szCs w:val="24"/>
        </w:rPr>
        <w:t xml:space="preserve"> </w:t>
      </w:r>
      <w:r w:rsidR="00FA0A5F" w:rsidRPr="00ED7F28">
        <w:rPr>
          <w:rFonts w:ascii="Times New Roman" w:eastAsia="Calibri" w:hAnsi="Times New Roman" w:cs="Times New Roman"/>
          <w:b/>
          <w:bCs/>
          <w:sz w:val="24"/>
          <w:szCs w:val="24"/>
        </w:rPr>
        <w:t xml:space="preserve">Регламент (ЕС) № 651/2014 на Комисията </w:t>
      </w:r>
    </w:p>
    <w:p w:rsidR="008D4A9C" w:rsidRPr="00ED7F28" w:rsidRDefault="008D4A9C" w:rsidP="00FA0A5F">
      <w:pPr>
        <w:pStyle w:val="ListParagraph"/>
        <w:spacing w:before="120" w:after="0" w:line="240" w:lineRule="auto"/>
        <w:jc w:val="both"/>
        <w:rPr>
          <w:rFonts w:ascii="Times New Roman" w:eastAsia="Calibri" w:hAnsi="Times New Roman" w:cs="Times New Roman"/>
          <w:b/>
          <w:bCs/>
          <w:sz w:val="24"/>
          <w:szCs w:val="24"/>
        </w:rPr>
      </w:pPr>
    </w:p>
    <w:p w:rsidR="00843611" w:rsidRPr="00ED7F28" w:rsidRDefault="00843611" w:rsidP="00843611">
      <w:pPr>
        <w:pStyle w:val="ListParagraph"/>
        <w:spacing w:before="120" w:after="0" w:line="240" w:lineRule="auto"/>
        <w:jc w:val="both"/>
        <w:rPr>
          <w:rFonts w:ascii="Times New Roman" w:eastAsia="Calibri" w:hAnsi="Times New Roman" w:cs="Times New Roman"/>
          <w:b/>
          <w:bCs/>
          <w:sz w:val="24"/>
          <w:szCs w:val="24"/>
        </w:rPr>
      </w:pPr>
    </w:p>
    <w:p w:rsidR="008D4A9C" w:rsidRPr="00ED7F28" w:rsidRDefault="00030033" w:rsidP="007E6ABC">
      <w:pPr>
        <w:pStyle w:val="Heading1"/>
        <w:numPr>
          <w:ilvl w:val="0"/>
          <w:numId w:val="7"/>
        </w:numPr>
        <w:spacing w:before="120" w:after="120"/>
        <w:jc w:val="both"/>
        <w:rPr>
          <w:rFonts w:ascii="Times New Roman" w:eastAsia="Calibri" w:hAnsi="Times New Roman" w:cs="Times New Roman"/>
          <w:color w:val="auto"/>
          <w:sz w:val="24"/>
          <w:szCs w:val="24"/>
          <w:lang w:val="bg-BG"/>
        </w:rPr>
      </w:pPr>
      <w:r w:rsidRPr="00ED7F28">
        <w:rPr>
          <w:rFonts w:ascii="Times New Roman" w:eastAsia="Calibri" w:hAnsi="Times New Roman" w:cs="Times New Roman"/>
          <w:color w:val="auto"/>
          <w:sz w:val="24"/>
          <w:szCs w:val="24"/>
          <w:lang w:val="bg-BG"/>
        </w:rPr>
        <w:t>В случай че e приложим РЕЖИМ „РЕГИОНАЛНА ИНВЕСТИЦИОННА ПОМОЩ” съгласно чл. 13 и чл. 14 от Регламент (ЕС) № 651/2014 (по Елемент А „Инвестиции“), е необходимо кандидатите да спазват следните изисквания:</w:t>
      </w:r>
    </w:p>
    <w:p w:rsidR="008D4A9C" w:rsidRPr="00ED7F28" w:rsidRDefault="008D4A9C">
      <w:pPr>
        <w:spacing w:after="0" w:line="240" w:lineRule="auto"/>
        <w:jc w:val="both"/>
        <w:rPr>
          <w:rFonts w:ascii="Times New Roman" w:eastAsia="Calibri" w:hAnsi="Times New Roman" w:cs="Times New Roman"/>
          <w:b/>
          <w:sz w:val="24"/>
          <w:szCs w:val="24"/>
        </w:rPr>
      </w:pP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 xml:space="preserve">1. Ограничения за размера на помощта: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Cs/>
          <w:sz w:val="24"/>
          <w:szCs w:val="24"/>
        </w:rPr>
        <w:t>В допълнение към минималния и максимален размер на помощта, посочени в т. 9 от Условията за кандидатстване, кандидатите трябва да имат предвид и следните ограничения, произтичащи от избрания режим „регионална инвестиционна помощ”</w:t>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2. Минимален размер на помощта: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2.1.</w:t>
      </w:r>
      <w:r w:rsidRPr="00ED7F28">
        <w:rPr>
          <w:rFonts w:ascii="Times New Roman" w:hAnsi="Times New Roman" w:cs="Times New Roman"/>
          <w:sz w:val="24"/>
          <w:szCs w:val="24"/>
        </w:rPr>
        <w:t xml:space="preserve"> В случай, че дейностите, изпълнявани от кандидата, се отнасят към категория на инвестицията – „</w:t>
      </w:r>
      <w:r w:rsidRPr="00ED7F28">
        <w:rPr>
          <w:rFonts w:ascii="Times New Roman" w:hAnsi="Times New Roman" w:cs="Times New Roman"/>
          <w:b/>
          <w:sz w:val="24"/>
          <w:szCs w:val="24"/>
        </w:rPr>
        <w:t>диверсификация на продукцията на даден стопанския обект с продукти или услуги, които той не е произвеждал или предлагал до този момент“</w:t>
      </w:r>
      <w:r w:rsidRPr="00ED7F28">
        <w:t xml:space="preserve"> </w:t>
      </w:r>
    </w:p>
    <w:p w:rsidR="008D4A9C" w:rsidRPr="00ED7F28" w:rsidRDefault="00030033">
      <w:pPr>
        <w:jc w:val="both"/>
        <w:rPr>
          <w:rFonts w:ascii="Times New Roman" w:hAnsi="Times New Roman" w:cs="Times New Roman"/>
          <w:i/>
          <w:sz w:val="24"/>
          <w:szCs w:val="24"/>
        </w:rPr>
      </w:pPr>
      <w:r w:rsidRPr="00ED7F28">
        <w:rPr>
          <w:rFonts w:ascii="Times New Roman" w:hAnsi="Times New Roman" w:cs="Times New Roman"/>
          <w:i/>
          <w:sz w:val="24"/>
          <w:szCs w:val="24"/>
        </w:rPr>
        <w:t xml:space="preserve">Общият размер на допустимите разходи по Елемент А „Инвестиции“ трябва да надхвърля с </w:t>
      </w:r>
      <w:r w:rsidRPr="00ED7F28">
        <w:rPr>
          <w:rFonts w:ascii="Times New Roman" w:hAnsi="Times New Roman" w:cs="Times New Roman"/>
          <w:b/>
          <w:i/>
          <w:sz w:val="24"/>
          <w:szCs w:val="24"/>
        </w:rPr>
        <w:t>поне 200%</w:t>
      </w:r>
      <w:r w:rsidRPr="00ED7F28">
        <w:rPr>
          <w:rFonts w:ascii="Times New Roman" w:hAnsi="Times New Roman" w:cs="Times New Roman"/>
          <w:i/>
          <w:sz w:val="24"/>
          <w:szCs w:val="24"/>
        </w:rPr>
        <w:t xml:space="preserve"> счетоводната стойност на активите, които се използват повторно, както са осчетоводени през финансовата година преди започването на работата по проекта.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За целите на определяне на </w:t>
      </w:r>
      <w:r w:rsidRPr="00ED7F28">
        <w:rPr>
          <w:rFonts w:ascii="Times New Roman" w:hAnsi="Times New Roman" w:cs="Times New Roman"/>
          <w:b/>
          <w:sz w:val="24"/>
          <w:szCs w:val="24"/>
        </w:rPr>
        <w:t>минималния размер на допустимите разходи</w:t>
      </w:r>
      <w:r w:rsidRPr="00ED7F28">
        <w:rPr>
          <w:rFonts w:ascii="Times New Roman" w:hAnsi="Times New Roman" w:cs="Times New Roman"/>
          <w:sz w:val="24"/>
          <w:szCs w:val="24"/>
        </w:rPr>
        <w:t xml:space="preserve">: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 Счетоводната стойност на активите, които се използват повторно е стойността, на която активът е заведен в баланса на кандидата и представлява остатъчната стойност на актива, така както е вписан в счетоводните регистри на кандидата към 31 декември на годината преди започването на работата по първоначалната инвестиция;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 Стойността на общите допустими разходи по Елемент А „Инвестиции“ трябва да бъде по-висока от счетоводната стойност на активите </w:t>
      </w:r>
      <w:r w:rsidRPr="00ED7F28">
        <w:rPr>
          <w:rFonts w:ascii="Times New Roman" w:hAnsi="Times New Roman" w:cs="Times New Roman"/>
          <w:b/>
          <w:sz w:val="24"/>
          <w:szCs w:val="24"/>
        </w:rPr>
        <w:t>умножена по три</w:t>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Следва да се вземе предвид степента, в която активите се използват повторно, т.е. взема се само съответната част от счетоводната стойност на съответния актив, която ще бъде използвана повторно;</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Под повторно използване се имат предвид случаите, когато използваните активи за производството на съществуващ продукт, ще бъдат използвани изцяло или частично и за новия продукт, който предстои да бъде произвеждан.</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 xml:space="preserve">ВАЖНО: </w:t>
      </w:r>
      <w:r w:rsidRPr="00ED7F28">
        <w:rPr>
          <w:rFonts w:ascii="Times New Roman" w:hAnsi="Times New Roman" w:cs="Times New Roman"/>
          <w:sz w:val="24"/>
          <w:szCs w:val="24"/>
        </w:rPr>
        <w:t>Съответствието с посоченото изискване ще бъде проверявано чрез „Справката относно активите, които ще бъдат използвани при производството на нов продукт” (Приложение 3.3) и Счетоводния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проекта.</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2.2. Максимален размер на помощта: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lastRenderedPageBreak/>
        <w:t>Безвъзмездното финансиране, за което се кандидатства при избран режим „регионална инвестиционна помощ”, заедно с получената държавна/минимална помощ от други източници, не може да надхвърля:</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b/>
          <w:sz w:val="24"/>
          <w:szCs w:val="24"/>
        </w:rPr>
        <w:t>А)</w:t>
      </w:r>
      <w:r w:rsidRPr="00ED7F28">
        <w:rPr>
          <w:rFonts w:ascii="Times New Roman" w:hAnsi="Times New Roman" w:cs="Times New Roman"/>
          <w:sz w:val="24"/>
          <w:szCs w:val="24"/>
        </w:rPr>
        <w:t xml:space="preserve"> </w:t>
      </w:r>
      <w:r w:rsidRPr="00ED7F28">
        <w:rPr>
          <w:rFonts w:ascii="Times New Roman" w:hAnsi="Times New Roman" w:cs="Times New Roman"/>
          <w:b/>
          <w:sz w:val="24"/>
          <w:szCs w:val="24"/>
        </w:rPr>
        <w:t>Максимално допустимия размер</w:t>
      </w:r>
      <w:r w:rsidRPr="00ED7F28">
        <w:rPr>
          <w:rFonts w:ascii="Times New Roman" w:hAnsi="Times New Roman" w:cs="Times New Roman"/>
          <w:sz w:val="24"/>
          <w:szCs w:val="24"/>
        </w:rPr>
        <w:t xml:space="preserve"> на помощта по чл. 4, пар. 1, буква „а“ от Регламент (ЕС) № 651/2014 на Комисията на предприятие за инвестиционен проект е, както следва:</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10%: 8,25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15%: 12,38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20%: 16,5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25%: 20,63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30%: 24,75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35%: 28,88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40%: 33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50%: 41,25 млн. евро;</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в случаи на максимален интензитет на регионалната помощ от 60%: 49,5 млн. евро;</w:t>
      </w:r>
    </w:p>
    <w:p w:rsidR="008D4A9C" w:rsidRPr="00ED7F28" w:rsidRDefault="00030033">
      <w:pPr>
        <w:jc w:val="both"/>
        <w:rPr>
          <w:rFonts w:ascii="Times New Roman" w:hAnsi="Times New Roman" w:cs="Times New Roman"/>
          <w:bCs/>
          <w:sz w:val="24"/>
          <w:szCs w:val="24"/>
        </w:rPr>
      </w:pPr>
      <w:r w:rsidRPr="00ED7F28">
        <w:rPr>
          <w:rFonts w:ascii="Times New Roman" w:hAnsi="Times New Roman" w:cs="Times New Roman"/>
          <w:sz w:val="24"/>
          <w:szCs w:val="24"/>
        </w:rPr>
        <w:t>- в случаи на максимален интензитет на регионалната помощ от 70%: 57,75 млн. евро.</w:t>
      </w:r>
      <w:r w:rsidRPr="00ED7F28">
        <w:rPr>
          <w:rFonts w:ascii="Times New Roman" w:hAnsi="Times New Roman" w:cs="Times New Roman"/>
          <w:bCs/>
          <w:sz w:val="24"/>
          <w:szCs w:val="24"/>
        </w:rPr>
        <w:t>.</w:t>
      </w:r>
    </w:p>
    <w:p w:rsidR="008D4A9C" w:rsidRPr="00ED7F28" w:rsidRDefault="00030033">
      <w:pPr>
        <w:jc w:val="both"/>
        <w:rPr>
          <w:rFonts w:ascii="Times New Roman" w:hAnsi="Times New Roman" w:cs="Times New Roman"/>
          <w:bCs/>
          <w:sz w:val="24"/>
          <w:szCs w:val="24"/>
        </w:rPr>
      </w:pPr>
      <w:r w:rsidRPr="00ED7F28">
        <w:rPr>
          <w:rFonts w:ascii="Times New Roman" w:hAnsi="Times New Roman" w:cs="Times New Roman"/>
          <w:sz w:val="24"/>
          <w:szCs w:val="24"/>
        </w:rPr>
        <w:t xml:space="preserve">Проверката за съответствие с посочения максимално допустим размер на помощта се извършва при отчитане на общия размер на </w:t>
      </w:r>
      <w:r w:rsidRPr="00ED7F28">
        <w:rPr>
          <w:rFonts w:ascii="Times New Roman" w:hAnsi="Times New Roman" w:cs="Times New Roman"/>
          <w:bCs/>
          <w:sz w:val="24"/>
          <w:szCs w:val="24"/>
        </w:rPr>
        <w:t xml:space="preserve">държавната помощ и/или минималната помощ, получена във връзка със същите </w:t>
      </w:r>
      <w:proofErr w:type="spellStart"/>
      <w:r w:rsidRPr="00ED7F28">
        <w:rPr>
          <w:rFonts w:ascii="Times New Roman" w:hAnsi="Times New Roman" w:cs="Times New Roman"/>
          <w:bCs/>
          <w:sz w:val="24"/>
          <w:szCs w:val="24"/>
        </w:rPr>
        <w:t>установими</w:t>
      </w:r>
      <w:proofErr w:type="spellEnd"/>
      <w:r w:rsidRPr="00ED7F28">
        <w:rPr>
          <w:rFonts w:ascii="Times New Roman" w:hAnsi="Times New Roman" w:cs="Times New Roman"/>
          <w:bCs/>
          <w:sz w:val="24"/>
          <w:szCs w:val="24"/>
        </w:rPr>
        <w:t xml:space="preserve"> допустими разходи, които се припокриват частично или напълно с разходите на кандидата по проекта.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Б)</w:t>
      </w:r>
      <w:r w:rsidRPr="00ED7F28">
        <w:rPr>
          <w:rFonts w:ascii="Times New Roman" w:hAnsi="Times New Roman" w:cs="Times New Roman"/>
          <w:sz w:val="24"/>
          <w:szCs w:val="24"/>
        </w:rPr>
        <w:t xml:space="preserve"> </w:t>
      </w:r>
      <w:r w:rsidRPr="00ED7F28">
        <w:rPr>
          <w:rFonts w:ascii="Times New Roman" w:hAnsi="Times New Roman" w:cs="Times New Roman"/>
          <w:b/>
          <w:sz w:val="24"/>
          <w:szCs w:val="24"/>
        </w:rPr>
        <w:t xml:space="preserve">Коригираният размер на помощта </w:t>
      </w:r>
      <w:r w:rsidRPr="00ED7F28">
        <w:rPr>
          <w:rFonts w:ascii="Times New Roman" w:hAnsi="Times New Roman" w:cs="Times New Roman"/>
          <w:sz w:val="24"/>
          <w:szCs w:val="24"/>
        </w:rPr>
        <w:t>(изчислен съгласно указанията по чл. 2, пар. 20 от Регламент (ЕС) № 651/2014 на Комисията), когато стойността на допустимите разходи на инвестиционен проект или на „единен инвестиционен проект“</w:t>
      </w:r>
      <w:r w:rsidRPr="00ED7F28">
        <w:t xml:space="preserve"> </w:t>
      </w:r>
      <w:r w:rsidRPr="00ED7F28">
        <w:rPr>
          <w:rFonts w:ascii="Times New Roman" w:hAnsi="Times New Roman" w:cs="Times New Roman"/>
          <w:sz w:val="24"/>
          <w:szCs w:val="24"/>
        </w:rPr>
        <w:t>(един и същ инвестиционен проект)</w:t>
      </w:r>
      <w:r w:rsidRPr="00ED7F28">
        <w:rPr>
          <w:rStyle w:val="FootnoteReference"/>
          <w:rFonts w:ascii="Times New Roman" w:hAnsi="Times New Roman" w:cs="Times New Roman"/>
          <w:sz w:val="24"/>
          <w:szCs w:val="24"/>
        </w:rPr>
        <w:footnoteReference w:id="1"/>
      </w:r>
      <w:r w:rsidRPr="00ED7F28">
        <w:rPr>
          <w:rFonts w:ascii="Times New Roman" w:hAnsi="Times New Roman" w:cs="Times New Roman"/>
          <w:sz w:val="24"/>
          <w:szCs w:val="24"/>
        </w:rPr>
        <w:t xml:space="preserve"> по чл. 14, пар. 12 и 13 от Регламент (ЕС) № 651/2014, е над левовата равностойност на 55 000 000 евро. Максимално допустимият размер на регионалната помощ ще се изчислява съгласно единния инвестиционен проект (един и същ инвестиционен проект) на кандидата, формиран при условията на чл. 14, пар. 12 от Регламент (ЕС) № 651/2014.</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Всеки административен договор за предоставяне на безвъзмездна финансова помощ (АДПБФП) с бенефициент по настоящата процедура представлява индивидуална помощ по смисъла на чл. 2, пар. 14, ii) от Регламент (ЕС) № 651/2014 на Комисията.</w:t>
      </w:r>
    </w:p>
    <w:p w:rsidR="008D4A9C" w:rsidRPr="00ED7F28" w:rsidRDefault="00030033">
      <w:pPr>
        <w:jc w:val="both"/>
        <w:rPr>
          <w:rFonts w:ascii="Times New Roman" w:hAnsi="Times New Roman" w:cs="Times New Roman"/>
          <w:b/>
          <w:bCs/>
          <w:sz w:val="24"/>
          <w:szCs w:val="24"/>
        </w:rPr>
      </w:pPr>
      <w:r w:rsidRPr="00ED7F28">
        <w:rPr>
          <w:rFonts w:ascii="Times New Roman" w:hAnsi="Times New Roman" w:cs="Times New Roman"/>
          <w:b/>
          <w:sz w:val="24"/>
          <w:szCs w:val="24"/>
        </w:rPr>
        <w:t>3. ЗАБРАНИТЕЛЕН РЕЖИМ СЪГЛАСНО ЧЛ. 1, ПАР. 3</w:t>
      </w:r>
      <w:r w:rsidR="00230CCD" w:rsidRPr="00ED7F28">
        <w:rPr>
          <w:rFonts w:ascii="Times New Roman" w:hAnsi="Times New Roman" w:cs="Times New Roman"/>
          <w:b/>
          <w:sz w:val="24"/>
          <w:szCs w:val="24"/>
        </w:rPr>
        <w:t xml:space="preserve">, 4, 5 и 13 </w:t>
      </w:r>
      <w:r w:rsidRPr="00ED7F28">
        <w:rPr>
          <w:rFonts w:ascii="Times New Roman" w:hAnsi="Times New Roman" w:cs="Times New Roman"/>
          <w:b/>
          <w:sz w:val="24"/>
          <w:szCs w:val="24"/>
        </w:rPr>
        <w:t xml:space="preserve">НА </w:t>
      </w:r>
      <w:r w:rsidRPr="00ED7F28">
        <w:rPr>
          <w:rFonts w:ascii="Times New Roman" w:hAnsi="Times New Roman" w:cs="Times New Roman"/>
          <w:b/>
          <w:bCs/>
          <w:sz w:val="24"/>
          <w:szCs w:val="24"/>
        </w:rPr>
        <w:t xml:space="preserve">РЕГЛАМЕНТ (ЕС) № 651/2014. </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!!!НЕДОПУСТИМИ КАНДИДАТИ ПРИ ИЗБРАН РЕЖИМ „РЕГИОНАЛНА ИНВЕСТИЦИОННА ПОМОЩ“ СЪГЛАСНО ЧЛ. 13 И ЧЛ. 14 ОТ РЕГЛАМЕНТ (ЕС) № 651/2014 (ПО ЕЛЕМЕНТ А „ИНВЕСТИЦИИ“):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lastRenderedPageBreak/>
        <w:t xml:space="preserve">Кандидатите не могат да участват </w:t>
      </w:r>
      <w:r w:rsidRPr="00ED7F28">
        <w:rPr>
          <w:rFonts w:ascii="Times New Roman" w:hAnsi="Times New Roman" w:cs="Times New Roman"/>
          <w:sz w:val="24"/>
          <w:szCs w:val="24"/>
        </w:rPr>
        <w:t xml:space="preserve">в процедурата и да получат безвъзмездно финансиране, в случай че попадат в </w:t>
      </w:r>
      <w:r w:rsidRPr="00ED7F28">
        <w:rPr>
          <w:rFonts w:ascii="Times New Roman" w:hAnsi="Times New Roman" w:cs="Times New Roman"/>
          <w:b/>
          <w:sz w:val="24"/>
          <w:szCs w:val="24"/>
        </w:rPr>
        <w:t>забранителните режими</w:t>
      </w:r>
      <w:r w:rsidRPr="00ED7F28">
        <w:rPr>
          <w:rFonts w:ascii="Times New Roman" w:hAnsi="Times New Roman" w:cs="Times New Roman"/>
          <w:sz w:val="24"/>
          <w:szCs w:val="24"/>
        </w:rPr>
        <w:t xml:space="preserve"> съгласно чл. 1, пар. 3 на </w:t>
      </w:r>
      <w:r w:rsidRPr="00ED7F28">
        <w:rPr>
          <w:rFonts w:ascii="Times New Roman" w:hAnsi="Times New Roman" w:cs="Times New Roman"/>
          <w:bCs/>
          <w:sz w:val="24"/>
          <w:szCs w:val="24"/>
        </w:rPr>
        <w:t xml:space="preserve">Регламент (ЕС) № 651/2014 </w:t>
      </w:r>
      <w:r w:rsidRPr="00ED7F28">
        <w:rPr>
          <w:rFonts w:ascii="Times New Roman" w:hAnsi="Times New Roman" w:cs="Times New Roman"/>
          <w:sz w:val="24"/>
          <w:szCs w:val="24"/>
        </w:rPr>
        <w:t>и по-конкретно, ако:</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А)</w:t>
      </w:r>
      <w:r w:rsidRPr="00ED7F28">
        <w:rPr>
          <w:rFonts w:ascii="Times New Roman" w:hAnsi="Times New Roman" w:cs="Times New Roman"/>
          <w:sz w:val="24"/>
          <w:szCs w:val="24"/>
        </w:rPr>
        <w:t xml:space="preserve"> </w:t>
      </w:r>
      <w:r w:rsidRPr="00ED7F28">
        <w:rPr>
          <w:rFonts w:ascii="Times New Roman" w:hAnsi="Times New Roman" w:cs="Times New Roman"/>
          <w:b/>
          <w:sz w:val="24"/>
          <w:szCs w:val="24"/>
        </w:rPr>
        <w:t>Икономическата дейност</w:t>
      </w:r>
      <w:r w:rsidRPr="00ED7F28">
        <w:rPr>
          <w:rFonts w:ascii="Times New Roman" w:hAnsi="Times New Roman" w:cs="Times New Roman"/>
          <w:sz w:val="24"/>
          <w:szCs w:val="24"/>
        </w:rPr>
        <w:t>,</w:t>
      </w:r>
      <w:r w:rsidRPr="00ED7F28">
        <w:rPr>
          <w:rFonts w:ascii="Times New Roman" w:hAnsi="Times New Roman" w:cs="Times New Roman"/>
          <w:b/>
          <w:sz w:val="24"/>
          <w:szCs w:val="24"/>
        </w:rPr>
        <w:t xml:space="preserve"> за която кандидатстват се отнася до:</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сектора на рибарството и аквакултурите, уредени с Регламент (ЕС) № 1379/2013;</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сектора на първичното производство на селскостопански продукти</w:t>
      </w:r>
      <w:r w:rsidRPr="00ED7F28">
        <w:rPr>
          <w:rStyle w:val="FootnoteReference"/>
          <w:rFonts w:ascii="Times New Roman" w:hAnsi="Times New Roman" w:cs="Times New Roman"/>
          <w:sz w:val="24"/>
          <w:szCs w:val="24"/>
        </w:rPr>
        <w:footnoteReference w:id="2"/>
      </w:r>
      <w:r w:rsidRPr="00ED7F28">
        <w:rPr>
          <w:rFonts w:ascii="Times New Roman" w:hAnsi="Times New Roman" w:cs="Times New Roman"/>
          <w:sz w:val="24"/>
          <w:szCs w:val="24"/>
        </w:rPr>
        <w:t>;</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сектора на преработка</w:t>
      </w:r>
      <w:r w:rsidR="008D79BC" w:rsidRPr="00ED7F28">
        <w:rPr>
          <w:rFonts w:ascii="Times New Roman" w:hAnsi="Times New Roman" w:cs="Times New Roman"/>
          <w:sz w:val="24"/>
          <w:szCs w:val="24"/>
        </w:rPr>
        <w:t xml:space="preserve"> </w:t>
      </w:r>
      <w:r w:rsidRPr="00ED7F28">
        <w:rPr>
          <w:rFonts w:ascii="Times New Roman" w:hAnsi="Times New Roman" w:cs="Times New Roman"/>
          <w:sz w:val="24"/>
          <w:szCs w:val="24"/>
        </w:rPr>
        <w:t>и продажба на селскостопански продукти, в следните случаи:</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когато помощта е обвързана със задължението да бъде прехвърлена частично или изцяло на първичните производители;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сектора на стоманата, лигнита</w:t>
      </w:r>
      <w:r w:rsidR="008D79BC" w:rsidRPr="00ED7F28">
        <w:rPr>
          <w:rFonts w:ascii="Times New Roman" w:hAnsi="Times New Roman" w:cs="Times New Roman"/>
          <w:sz w:val="24"/>
          <w:szCs w:val="24"/>
        </w:rPr>
        <w:t xml:space="preserve"> </w:t>
      </w:r>
      <w:r w:rsidRPr="00ED7F28">
        <w:rPr>
          <w:rFonts w:ascii="Times New Roman" w:hAnsi="Times New Roman" w:cs="Times New Roman"/>
          <w:sz w:val="24"/>
          <w:szCs w:val="24"/>
        </w:rPr>
        <w:t>и въглищата;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сектор транспорт, както и свързаната с него инфраструктура;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производство, съхранение, пренос и разпределение на енергия и за енергийни инфраструктури.</w:t>
      </w:r>
    </w:p>
    <w:p w:rsidR="008D79BC" w:rsidRPr="00ED7F28" w:rsidRDefault="008D79BC">
      <w:pPr>
        <w:jc w:val="both"/>
        <w:rPr>
          <w:rFonts w:ascii="Times New Roman" w:hAnsi="Times New Roman" w:cs="Times New Roman"/>
          <w:sz w:val="24"/>
          <w:szCs w:val="24"/>
        </w:rPr>
      </w:pPr>
      <w:r w:rsidRPr="00ED7F28">
        <w:rPr>
          <w:rFonts w:ascii="Times New Roman" w:hAnsi="Times New Roman" w:cs="Times New Roman"/>
          <w:sz w:val="24"/>
          <w:szCs w:val="24"/>
        </w:rPr>
        <w:t>• сектора на широколентовия интернет</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 xml:space="preserve">А1) </w:t>
      </w:r>
      <w:r w:rsidRPr="00ED7F28">
        <w:rPr>
          <w:rFonts w:ascii="Times New Roman" w:hAnsi="Times New Roman" w:cs="Times New Roman"/>
          <w:sz w:val="24"/>
          <w:szCs w:val="24"/>
        </w:rPr>
        <w:t>Проектното предложение съдържа дейности за улесняване на закриването на неконкурентоспособни въглищни мини в съответствие с Решение 2010/787/ЕС на Съвета.</w:t>
      </w:r>
    </w:p>
    <w:p w:rsidR="008D4A9C" w:rsidRPr="00ED7F28" w:rsidRDefault="00030033">
      <w:pPr>
        <w:pStyle w:val="FootnoteText"/>
        <w:jc w:val="both"/>
        <w:rPr>
          <w:rFonts w:ascii="Times New Roman" w:hAnsi="Times New Roman"/>
          <w:b/>
          <w:sz w:val="24"/>
          <w:szCs w:val="24"/>
        </w:rPr>
      </w:pPr>
      <w:r w:rsidRPr="00ED7F28">
        <w:rPr>
          <w:rFonts w:ascii="Times New Roman" w:hAnsi="Times New Roman"/>
          <w:b/>
          <w:sz w:val="24"/>
          <w:szCs w:val="24"/>
        </w:rPr>
        <w:t>Съгласно определенията по чл. 2 от Регламент на Комисията (ЕС) № 651/2014:</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СЕКТОР НА РИБАРСТВОТО И АКВАКУЛТУРИТЕ</w:t>
      </w:r>
      <w:r w:rsidR="008D79BC" w:rsidRPr="00ED7F28">
        <w:rPr>
          <w:rFonts w:ascii="Times New Roman" w:hAnsi="Times New Roman" w:cs="Times New Roman"/>
          <w:sz w:val="24"/>
          <w:szCs w:val="24"/>
        </w:rPr>
        <w:t xml:space="preserve"> </w:t>
      </w:r>
      <w:r w:rsidR="00ED7F28" w:rsidRPr="00ED7F28">
        <w:rPr>
          <w:rFonts w:ascii="Times New Roman" w:hAnsi="Times New Roman" w:cs="Times New Roman"/>
          <w:sz w:val="24"/>
          <w:szCs w:val="24"/>
        </w:rPr>
        <w:t>-</w:t>
      </w:r>
      <w:r w:rsidRPr="00ED7F28">
        <w:rPr>
          <w:rFonts w:ascii="Times New Roman" w:hAnsi="Times New Roman" w:cs="Times New Roman"/>
          <w:sz w:val="24"/>
          <w:szCs w:val="24"/>
        </w:rPr>
        <w:t>Съгласно чл. 5, буква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„сектор на рибарството и аквакултурите“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p w:rsidR="008D4A9C" w:rsidRPr="00ED7F28" w:rsidRDefault="00030033" w:rsidP="00A8602C">
      <w:pPr>
        <w:jc w:val="both"/>
        <w:rPr>
          <w:rFonts w:ascii="Times New Roman" w:hAnsi="Times New Roman" w:cs="Times New Roman"/>
          <w:sz w:val="24"/>
          <w:szCs w:val="24"/>
        </w:rPr>
      </w:pPr>
      <w:r w:rsidRPr="00ED7F28">
        <w:rPr>
          <w:rFonts w:ascii="Times New Roman" w:hAnsi="Times New Roman" w:cs="Times New Roman"/>
          <w:sz w:val="24"/>
          <w:szCs w:val="24"/>
        </w:rPr>
        <w:t>ПЪРВИЧНОТО ПРОИЗВОДСТВО НА СЕЛСКОСТОПАНСКИ ПРОДУКТИ</w:t>
      </w:r>
      <w:r w:rsidR="008D79BC" w:rsidRPr="00ED7F28">
        <w:rPr>
          <w:rFonts w:ascii="Times New Roman" w:hAnsi="Times New Roman" w:cs="Times New Roman"/>
          <w:sz w:val="24"/>
          <w:szCs w:val="24"/>
        </w:rPr>
        <w:t xml:space="preserve"> - </w:t>
      </w:r>
      <w:r w:rsidRPr="00ED7F28">
        <w:rPr>
          <w:rFonts w:ascii="Times New Roman" w:hAnsi="Times New Roman" w:cs="Times New Roman"/>
          <w:sz w:val="24"/>
          <w:szCs w:val="24"/>
        </w:rPr>
        <w:t>Съгласно чл. 2, пар. 9 от Регламент (ЕО) № 651/2014, това е производство на продукти на почвата и на животновъдството, изброени в Приложение № I към Договора за функционирането на Европейския съюз</w:t>
      </w:r>
      <w:r w:rsidR="00000BDA" w:rsidRPr="00ED7F28">
        <w:rPr>
          <w:rFonts w:ascii="Times New Roman" w:hAnsi="Times New Roman" w:cs="Times New Roman"/>
          <w:sz w:val="24"/>
          <w:szCs w:val="24"/>
        </w:rPr>
        <w:t xml:space="preserve">, съгласно </w:t>
      </w:r>
      <w:r w:rsidR="00A8602C" w:rsidRPr="00ED7F28">
        <w:rPr>
          <w:rFonts w:ascii="Times New Roman" w:hAnsi="Times New Roman" w:cs="Times New Roman"/>
          <w:b/>
          <w:sz w:val="24"/>
          <w:szCs w:val="24"/>
        </w:rPr>
        <w:t xml:space="preserve">Приложение 3д ПРИЛОЖЕНИЕ I КЪМ ДОГОВОРА ЗА ФУНКЦИОНИРАНЕТО НА ЕВРОПЕЙСКИЯ СЪЮЗ (СПИСЪК ПО ЧЛЕН 38 ОТ </w:t>
      </w:r>
      <w:r w:rsidR="00A8602C" w:rsidRPr="00ED7F28">
        <w:rPr>
          <w:rFonts w:ascii="Times New Roman" w:hAnsi="Times New Roman" w:cs="Times New Roman"/>
          <w:b/>
          <w:sz w:val="24"/>
          <w:szCs w:val="24"/>
        </w:rPr>
        <w:lastRenderedPageBreak/>
        <w:t>ДОГОВОРА</w:t>
      </w:r>
      <w:r w:rsidR="00D10409">
        <w:rPr>
          <w:rFonts w:ascii="Times New Roman" w:hAnsi="Times New Roman" w:cs="Times New Roman"/>
          <w:b/>
          <w:sz w:val="24"/>
          <w:szCs w:val="24"/>
        </w:rPr>
        <w:t>)</w:t>
      </w:r>
      <w:r w:rsidRPr="00ED7F28">
        <w:rPr>
          <w:rFonts w:ascii="Times New Roman" w:hAnsi="Times New Roman" w:cs="Times New Roman"/>
          <w:sz w:val="24"/>
          <w:szCs w:val="24"/>
        </w:rPr>
        <w:t>, без да се извършват никакви по-нататъшни операции, с които се променя естеството на тези продукти.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ПРЕРАБО</w:t>
      </w:r>
      <w:r w:rsidR="008D79BC" w:rsidRPr="00ED7F28">
        <w:rPr>
          <w:rFonts w:ascii="Times New Roman" w:hAnsi="Times New Roman" w:cs="Times New Roman"/>
          <w:sz w:val="24"/>
          <w:szCs w:val="24"/>
        </w:rPr>
        <w:t xml:space="preserve">ТКА НА СЕЛСКОСТОПАНСКИ ПРОДУКТИ - </w:t>
      </w:r>
      <w:r w:rsidRPr="00ED7F28">
        <w:rPr>
          <w:rFonts w:ascii="Times New Roman" w:hAnsi="Times New Roman" w:cs="Times New Roman"/>
          <w:sz w:val="24"/>
          <w:szCs w:val="24"/>
        </w:rPr>
        <w:t>Съгласно чл. 2, пар. 10 от Регламент (ЕО) № 651/2014, това е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p w:rsidR="008D4A9C" w:rsidRPr="00ED7F28" w:rsidRDefault="008D79BC" w:rsidP="008D79BC">
      <w:pPr>
        <w:widowControl w:val="0"/>
        <w:spacing w:after="120" w:line="240" w:lineRule="auto"/>
        <w:rPr>
          <w:rFonts w:ascii="Times New Roman" w:hAnsi="Times New Roman" w:cs="Times New Roman"/>
          <w:sz w:val="24"/>
          <w:szCs w:val="24"/>
        </w:rPr>
      </w:pPr>
      <w:r w:rsidRPr="00ED7F28">
        <w:rPr>
          <w:rFonts w:ascii="Times New Roman" w:hAnsi="Times New Roman" w:cs="Times New Roman"/>
          <w:sz w:val="24"/>
          <w:szCs w:val="24"/>
        </w:rPr>
        <w:t>СТОМАНОДОБИВЕН СЕКТОР -</w:t>
      </w:r>
      <w:r w:rsidR="00030033" w:rsidRPr="00ED7F28">
        <w:rPr>
          <w:rFonts w:ascii="Times New Roman" w:hAnsi="Times New Roman" w:cs="Times New Roman"/>
          <w:sz w:val="24"/>
          <w:szCs w:val="24"/>
        </w:rPr>
        <w:t xml:space="preserve"> Съгласно чл. 2, пар. 43 от Регламент (ЕО) № 651/2014 „стоманодобивен сектор“ означава производството на едно или повече от следните изделия:</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а) необработен чугун и </w:t>
      </w:r>
      <w:proofErr w:type="spellStart"/>
      <w:r w:rsidRPr="00ED7F28">
        <w:rPr>
          <w:rFonts w:ascii="Times New Roman" w:hAnsi="Times New Roman" w:cs="Times New Roman"/>
          <w:sz w:val="24"/>
          <w:szCs w:val="24"/>
        </w:rPr>
        <w:t>феросплави</w:t>
      </w:r>
      <w:proofErr w:type="spellEnd"/>
      <w:r w:rsidRPr="00ED7F28">
        <w:rPr>
          <w:rFonts w:ascii="Times New Roman" w:hAnsi="Times New Roman" w:cs="Times New Roman"/>
          <w:sz w:val="24"/>
          <w:szCs w:val="24"/>
        </w:rPr>
        <w:t>: необработен чугун за производство на стомана, леярски чугун и друг необработен чугун, огледални „</w:t>
      </w:r>
      <w:proofErr w:type="spellStart"/>
      <w:r w:rsidRPr="00ED7F28">
        <w:rPr>
          <w:rFonts w:ascii="Times New Roman" w:hAnsi="Times New Roman" w:cs="Times New Roman"/>
          <w:sz w:val="24"/>
          <w:szCs w:val="24"/>
        </w:rPr>
        <w:t>шпигел</w:t>
      </w:r>
      <w:proofErr w:type="spellEnd"/>
      <w:r w:rsidRPr="00ED7F28">
        <w:rPr>
          <w:rFonts w:ascii="Times New Roman" w:hAnsi="Times New Roman" w:cs="Times New Roman"/>
          <w:sz w:val="24"/>
          <w:szCs w:val="24"/>
        </w:rPr>
        <w:t xml:space="preserve">“ чугуни и </w:t>
      </w:r>
      <w:proofErr w:type="spellStart"/>
      <w:r w:rsidRPr="00ED7F28">
        <w:rPr>
          <w:rFonts w:ascii="Times New Roman" w:hAnsi="Times New Roman" w:cs="Times New Roman"/>
          <w:sz w:val="24"/>
          <w:szCs w:val="24"/>
        </w:rPr>
        <w:t>високовъглероден</w:t>
      </w:r>
      <w:proofErr w:type="spellEnd"/>
      <w:r w:rsidRPr="00ED7F28">
        <w:rPr>
          <w:rFonts w:ascii="Times New Roman" w:hAnsi="Times New Roman" w:cs="Times New Roman"/>
          <w:sz w:val="24"/>
          <w:szCs w:val="24"/>
        </w:rPr>
        <w:t xml:space="preserve"> </w:t>
      </w:r>
      <w:proofErr w:type="spellStart"/>
      <w:r w:rsidRPr="00ED7F28">
        <w:rPr>
          <w:rFonts w:ascii="Times New Roman" w:hAnsi="Times New Roman" w:cs="Times New Roman"/>
          <w:sz w:val="24"/>
          <w:szCs w:val="24"/>
        </w:rPr>
        <w:t>фероманган</w:t>
      </w:r>
      <w:proofErr w:type="spellEnd"/>
      <w:r w:rsidRPr="00ED7F28">
        <w:rPr>
          <w:rFonts w:ascii="Times New Roman" w:hAnsi="Times New Roman" w:cs="Times New Roman"/>
          <w:sz w:val="24"/>
          <w:szCs w:val="24"/>
        </w:rPr>
        <w:t xml:space="preserve">, без да се включват други </w:t>
      </w:r>
      <w:proofErr w:type="spellStart"/>
      <w:r w:rsidRPr="00ED7F28">
        <w:rPr>
          <w:rFonts w:ascii="Times New Roman" w:hAnsi="Times New Roman" w:cs="Times New Roman"/>
          <w:sz w:val="24"/>
          <w:szCs w:val="24"/>
        </w:rPr>
        <w:t>феросплави</w:t>
      </w:r>
      <w:proofErr w:type="spellEnd"/>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б) суровини и полуготови продукти от желязо, обикновена стомана или специална стомана: лята стомана, на блокове или не, включително блокове за коване на полуготови изделия: </w:t>
      </w:r>
      <w:proofErr w:type="spellStart"/>
      <w:r w:rsidRPr="00ED7F28">
        <w:rPr>
          <w:rFonts w:ascii="Times New Roman" w:hAnsi="Times New Roman" w:cs="Times New Roman"/>
          <w:sz w:val="24"/>
          <w:szCs w:val="24"/>
        </w:rPr>
        <w:t>блуми</w:t>
      </w:r>
      <w:proofErr w:type="spellEnd"/>
      <w:r w:rsidRPr="00ED7F28">
        <w:rPr>
          <w:rFonts w:ascii="Times New Roman" w:hAnsi="Times New Roman" w:cs="Times New Roman"/>
          <w:sz w:val="24"/>
          <w:szCs w:val="24"/>
        </w:rPr>
        <w:t xml:space="preserve">, кръгли блокове и </w:t>
      </w:r>
      <w:proofErr w:type="spellStart"/>
      <w:r w:rsidRPr="00ED7F28">
        <w:rPr>
          <w:rFonts w:ascii="Times New Roman" w:hAnsi="Times New Roman" w:cs="Times New Roman"/>
          <w:sz w:val="24"/>
          <w:szCs w:val="24"/>
        </w:rPr>
        <w:t>сляби</w:t>
      </w:r>
      <w:proofErr w:type="spellEnd"/>
      <w:r w:rsidRPr="00ED7F28">
        <w:rPr>
          <w:rFonts w:ascii="Times New Roman" w:hAnsi="Times New Roman" w:cs="Times New Roman"/>
          <w:sz w:val="24"/>
          <w:szCs w:val="24"/>
        </w:rPr>
        <w:t xml:space="preserve">; листове и листове </w:t>
      </w:r>
      <w:proofErr w:type="spellStart"/>
      <w:r w:rsidRPr="00ED7F28">
        <w:rPr>
          <w:rFonts w:ascii="Times New Roman" w:hAnsi="Times New Roman" w:cs="Times New Roman"/>
          <w:sz w:val="24"/>
          <w:szCs w:val="24"/>
        </w:rPr>
        <w:t>покалаена</w:t>
      </w:r>
      <w:proofErr w:type="spellEnd"/>
      <w:r w:rsidRPr="00ED7F28">
        <w:rPr>
          <w:rFonts w:ascii="Times New Roman" w:hAnsi="Times New Roman" w:cs="Times New Roman"/>
          <w:sz w:val="24"/>
          <w:szCs w:val="24"/>
        </w:rPr>
        <w:t xml:space="preserve"> ламарина, горещо валцувани </w:t>
      </w:r>
      <w:proofErr w:type="spellStart"/>
      <w:r w:rsidRPr="00ED7F28">
        <w:rPr>
          <w:rFonts w:ascii="Times New Roman" w:hAnsi="Times New Roman" w:cs="Times New Roman"/>
          <w:sz w:val="24"/>
          <w:szCs w:val="24"/>
        </w:rPr>
        <w:t>коилси</w:t>
      </w:r>
      <w:proofErr w:type="spellEnd"/>
      <w:r w:rsidRPr="00ED7F28">
        <w:rPr>
          <w:rFonts w:ascii="Times New Roman" w:hAnsi="Times New Roman" w:cs="Times New Roman"/>
          <w:sz w:val="24"/>
          <w:szCs w:val="24"/>
        </w:rPr>
        <w:t>, с изключение на производство на течна стомана за леене от малки и средни леярни;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в) готови продукти след гореща обработка на желязо, обикновена стомана или специална стомана: релси, траверси, сглобяеми плоскости, единични плоскости, профили, тежки секции с дебелина 80 mm и по-голяма, валцувани плоскости, профили и секции с дебелина по-малко от 80 mm и плоскости по-тънки от 150 mm, тел, тръби с кръгло сечение и други профили, горещо валцувани вериги и ленти (включително ленти за тръби), </w:t>
      </w:r>
      <w:proofErr w:type="spellStart"/>
      <w:r w:rsidRPr="00ED7F28">
        <w:rPr>
          <w:rFonts w:ascii="Times New Roman" w:hAnsi="Times New Roman" w:cs="Times New Roman"/>
          <w:sz w:val="24"/>
          <w:szCs w:val="24"/>
        </w:rPr>
        <w:t>плосковалцовани</w:t>
      </w:r>
      <w:proofErr w:type="spellEnd"/>
      <w:r w:rsidRPr="00ED7F28">
        <w:rPr>
          <w:rFonts w:ascii="Times New Roman" w:hAnsi="Times New Roman" w:cs="Times New Roman"/>
          <w:sz w:val="24"/>
          <w:szCs w:val="24"/>
        </w:rPr>
        <w:t xml:space="preserve"> продукти и листове с дебелина 3 mm или повече, </w:t>
      </w:r>
      <w:proofErr w:type="spellStart"/>
      <w:r w:rsidRPr="00ED7F28">
        <w:rPr>
          <w:rFonts w:ascii="Times New Roman" w:hAnsi="Times New Roman" w:cs="Times New Roman"/>
          <w:sz w:val="24"/>
          <w:szCs w:val="24"/>
        </w:rPr>
        <w:t>плосковалцовани</w:t>
      </w:r>
      <w:proofErr w:type="spellEnd"/>
      <w:r w:rsidRPr="00ED7F28">
        <w:rPr>
          <w:rFonts w:ascii="Times New Roman" w:hAnsi="Times New Roman" w:cs="Times New Roman"/>
          <w:sz w:val="24"/>
          <w:szCs w:val="24"/>
        </w:rPr>
        <w:t xml:space="preserve"> продукти с универсално предназначение с дебелина 150 mm или повече, с изключение на тел и продукти от тел, полирани пръти и железни отливки;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г) готови продукти след студена обработка на желязо: </w:t>
      </w:r>
      <w:proofErr w:type="spellStart"/>
      <w:r w:rsidRPr="00ED7F28">
        <w:rPr>
          <w:rFonts w:ascii="Times New Roman" w:hAnsi="Times New Roman" w:cs="Times New Roman"/>
          <w:sz w:val="24"/>
          <w:szCs w:val="24"/>
        </w:rPr>
        <w:t>покалаена</w:t>
      </w:r>
      <w:proofErr w:type="spellEnd"/>
      <w:r w:rsidRPr="00ED7F28">
        <w:rPr>
          <w:rFonts w:ascii="Times New Roman" w:hAnsi="Times New Roman" w:cs="Times New Roman"/>
          <w:sz w:val="24"/>
          <w:szCs w:val="24"/>
        </w:rPr>
        <w:t xml:space="preserve"> ламарина, матова ламарина, черна ламарина, галванизирани или с други видове покритие листове ламарина, студено валцувани листове, електролитни листове, ленти за </w:t>
      </w:r>
      <w:proofErr w:type="spellStart"/>
      <w:r w:rsidRPr="00ED7F28">
        <w:rPr>
          <w:rFonts w:ascii="Times New Roman" w:hAnsi="Times New Roman" w:cs="Times New Roman"/>
          <w:sz w:val="24"/>
          <w:szCs w:val="24"/>
        </w:rPr>
        <w:t>покалаена</w:t>
      </w:r>
      <w:proofErr w:type="spellEnd"/>
      <w:r w:rsidRPr="00ED7F28">
        <w:rPr>
          <w:rFonts w:ascii="Times New Roman" w:hAnsi="Times New Roman" w:cs="Times New Roman"/>
          <w:sz w:val="24"/>
          <w:szCs w:val="24"/>
        </w:rPr>
        <w:t xml:space="preserve"> ламарина, студено валцувани плоскости, във форма на </w:t>
      </w:r>
      <w:proofErr w:type="spellStart"/>
      <w:r w:rsidRPr="00ED7F28">
        <w:rPr>
          <w:rFonts w:ascii="Times New Roman" w:hAnsi="Times New Roman" w:cs="Times New Roman"/>
          <w:sz w:val="24"/>
          <w:szCs w:val="24"/>
        </w:rPr>
        <w:t>коилси</w:t>
      </w:r>
      <w:proofErr w:type="spellEnd"/>
      <w:r w:rsidRPr="00ED7F28">
        <w:rPr>
          <w:rFonts w:ascii="Times New Roman" w:hAnsi="Times New Roman" w:cs="Times New Roman"/>
          <w:sz w:val="24"/>
          <w:szCs w:val="24"/>
        </w:rPr>
        <w:t xml:space="preserve"> или ленти;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д) тръби: всички безшевни стоманени тръби, запоени стоманени тръби с диаметър, превишаващ 406,4 mm.</w:t>
      </w:r>
    </w:p>
    <w:p w:rsidR="008D4A9C" w:rsidRPr="00ED7F28" w:rsidRDefault="008D79BC">
      <w:pPr>
        <w:jc w:val="both"/>
        <w:rPr>
          <w:rFonts w:ascii="Times New Roman" w:hAnsi="Times New Roman" w:cs="Times New Roman"/>
          <w:sz w:val="24"/>
          <w:szCs w:val="24"/>
        </w:rPr>
      </w:pPr>
      <w:r w:rsidRPr="00ED7F28">
        <w:rPr>
          <w:rFonts w:ascii="Times New Roman" w:hAnsi="Times New Roman" w:cs="Times New Roman"/>
          <w:sz w:val="24"/>
          <w:szCs w:val="24"/>
        </w:rPr>
        <w:t>ЛИГНИТНИ ВЪГЛИЩА</w:t>
      </w:r>
      <w:r w:rsidR="00000BDA" w:rsidRPr="00ED7F28">
        <w:rPr>
          <w:rFonts w:ascii="Times New Roman" w:hAnsi="Times New Roman" w:cs="Times New Roman"/>
          <w:sz w:val="24"/>
          <w:szCs w:val="24"/>
        </w:rPr>
        <w:t xml:space="preserve"> </w:t>
      </w:r>
      <w:r w:rsidRPr="00ED7F28">
        <w:rPr>
          <w:rFonts w:ascii="Times New Roman" w:hAnsi="Times New Roman" w:cs="Times New Roman"/>
          <w:sz w:val="24"/>
          <w:szCs w:val="24"/>
        </w:rPr>
        <w:t xml:space="preserve">- </w:t>
      </w:r>
      <w:r w:rsidR="00030033" w:rsidRPr="00ED7F28">
        <w:rPr>
          <w:rFonts w:ascii="Times New Roman" w:hAnsi="Times New Roman" w:cs="Times New Roman"/>
          <w:sz w:val="24"/>
          <w:szCs w:val="24"/>
        </w:rPr>
        <w:t xml:space="preserve"> Съгласно чл. 2, пар. 43а от Регламент (ЕО) № 651/2014 „лигнитни въглища“ означава нискокалорични от категория В, </w:t>
      </w:r>
      <w:proofErr w:type="spellStart"/>
      <w:r w:rsidR="00030033" w:rsidRPr="00ED7F28">
        <w:rPr>
          <w:rFonts w:ascii="Times New Roman" w:hAnsi="Times New Roman" w:cs="Times New Roman"/>
          <w:sz w:val="24"/>
          <w:szCs w:val="24"/>
        </w:rPr>
        <w:t>ортолигнитни</w:t>
      </w:r>
      <w:proofErr w:type="spellEnd"/>
      <w:r w:rsidR="00030033" w:rsidRPr="00ED7F28">
        <w:rPr>
          <w:rFonts w:ascii="Times New Roman" w:hAnsi="Times New Roman" w:cs="Times New Roman"/>
          <w:sz w:val="24"/>
          <w:szCs w:val="24"/>
        </w:rPr>
        <w:t xml:space="preserve"> нискокалорични от категория Б или мета лигнитни въглища, както са определени в Международната система за кодификация на въглищата, съставена от Икономическата комисия за Европа на ООН.</w:t>
      </w:r>
    </w:p>
    <w:p w:rsidR="008D4A9C" w:rsidRPr="00ED7F28" w:rsidRDefault="008D79BC">
      <w:pPr>
        <w:jc w:val="both"/>
        <w:rPr>
          <w:rFonts w:ascii="Times New Roman" w:hAnsi="Times New Roman" w:cs="Times New Roman"/>
          <w:sz w:val="24"/>
          <w:szCs w:val="24"/>
        </w:rPr>
      </w:pPr>
      <w:r w:rsidRPr="00ED7F28">
        <w:rPr>
          <w:rFonts w:ascii="Times New Roman" w:hAnsi="Times New Roman" w:cs="Times New Roman"/>
          <w:sz w:val="24"/>
          <w:szCs w:val="24"/>
        </w:rPr>
        <w:t>ТРАНСПОРТЕН СЕКТОР</w:t>
      </w:r>
      <w:r w:rsidR="00000BDA" w:rsidRPr="00ED7F28">
        <w:rPr>
          <w:rFonts w:ascii="Times New Roman" w:hAnsi="Times New Roman" w:cs="Times New Roman"/>
          <w:sz w:val="24"/>
          <w:szCs w:val="24"/>
        </w:rPr>
        <w:t xml:space="preserve"> </w:t>
      </w:r>
      <w:r w:rsidRPr="00ED7F28">
        <w:rPr>
          <w:rFonts w:ascii="Times New Roman" w:hAnsi="Times New Roman" w:cs="Times New Roman"/>
          <w:sz w:val="24"/>
          <w:szCs w:val="24"/>
        </w:rPr>
        <w:t xml:space="preserve">- </w:t>
      </w:r>
      <w:r w:rsidR="00030033" w:rsidRPr="00ED7F28">
        <w:rPr>
          <w:rFonts w:ascii="Times New Roman" w:hAnsi="Times New Roman" w:cs="Times New Roman"/>
          <w:sz w:val="24"/>
          <w:szCs w:val="24"/>
        </w:rPr>
        <w:t>Съгласно чл. 2, пар. 45 от Регламент (ЕО) № 651/2014, „транспортен сектор“ означава превоз на пътници с въздушен, морски, автомобилен или железопътен транспорт и транспорт по вътрешни водни пътища или услугите по товарен превоз за чужда сметка или срещу възнаграждение.</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lastRenderedPageBreak/>
        <w:t xml:space="preserve">По-специално „транспортен сектор“ означава следните дейности от гледна точка на статистическата класификация на икономическите дейности (NACE </w:t>
      </w:r>
      <w:proofErr w:type="spellStart"/>
      <w:r w:rsidRPr="00ED7F28">
        <w:rPr>
          <w:rFonts w:ascii="Times New Roman" w:hAnsi="Times New Roman" w:cs="Times New Roman"/>
          <w:sz w:val="24"/>
          <w:szCs w:val="24"/>
        </w:rPr>
        <w:t>Rev</w:t>
      </w:r>
      <w:proofErr w:type="spellEnd"/>
      <w:r w:rsidRPr="00ED7F28">
        <w:rPr>
          <w:rFonts w:ascii="Times New Roman" w:hAnsi="Times New Roman" w:cs="Times New Roman"/>
          <w:sz w:val="24"/>
          <w:szCs w:val="24"/>
        </w:rPr>
        <w:t>. 2), създадена с Регламент (ЕО) № 1893/2006 на Европейския парламент и на Съвета: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а) NACE 49: Сухопътен транспорт и тръбопроводен транспорт с изключение на NACE 49.32 Таксиметрови превози, 49.39. Управление на лифтове, въжени линии, ски и кабелни лифтове, ако не са част от градски или крайградски системи за транзитен превоз 49.42 Услуги по преместване, 49.5 Тръбопроводен транспорт (съгласно КИД-2008 на НСИ - Н49 „Сухопътен транспорт“, с изключение на: Н49.32 „Пътнически таксиметров транспорт“, Н49.39 „Друг пътнически сухопътен транспорт, некласифициран другаде“ САМО дейност „Превоз на пътници с въжени линии и ски лифтове, когато не е част от градските или крайградските транспортни мрежи“, Н49.42 „Услуги по преместване“ и Н49.5 „Тръбопроводен транспорт“);</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б) NACE 50: Воден транспорт (съгласно КИД-2008 на НСИ - Н50 „Воден транспорт“);</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в) NACE 51: Въздушен транспорт с изключение на NACE 51.22 Космически транспорт (съгласно КИД-2008 на НСИ - Н51 „Въздушен транспорт“, с изключение на Н51.22 „Космически транспорт“).</w:t>
      </w:r>
    </w:p>
    <w:p w:rsidR="008D4A9C" w:rsidRPr="00ED7F28" w:rsidRDefault="008D4A9C">
      <w:pPr>
        <w:jc w:val="both"/>
        <w:rPr>
          <w:rFonts w:ascii="Times New Roman" w:hAnsi="Times New Roman" w:cs="Times New Roman"/>
          <w:sz w:val="24"/>
          <w:szCs w:val="24"/>
        </w:rPr>
      </w:pP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ЕНЕРГИЙНА ИНФРАСТРУКТУРА</w:t>
      </w:r>
      <w:r w:rsidR="008D79BC" w:rsidRPr="00ED7F28">
        <w:rPr>
          <w:rFonts w:ascii="Times New Roman" w:hAnsi="Times New Roman" w:cs="Times New Roman"/>
          <w:sz w:val="24"/>
          <w:szCs w:val="24"/>
        </w:rPr>
        <w:t xml:space="preserve"> - </w:t>
      </w:r>
      <w:r w:rsidRPr="00ED7F28">
        <w:rPr>
          <w:rFonts w:ascii="Times New Roman" w:hAnsi="Times New Roman" w:cs="Times New Roman"/>
          <w:sz w:val="24"/>
          <w:szCs w:val="24"/>
        </w:rPr>
        <w:t>По смисъла на чл. 2 от Регламент (ЕС) № 651/2014 „енергийна инфраструктура“ означава всякакво материално оборудване или съоръжения, които са разположени в</w:t>
      </w:r>
      <w:r w:rsidR="008D79BC" w:rsidRPr="00ED7F28">
        <w:rPr>
          <w:rFonts w:ascii="Times New Roman" w:hAnsi="Times New Roman" w:cs="Times New Roman"/>
          <w:sz w:val="24"/>
          <w:szCs w:val="24"/>
        </w:rPr>
        <w:t xml:space="preserve"> </w:t>
      </w:r>
      <w:r w:rsidRPr="00ED7F28">
        <w:rPr>
          <w:rFonts w:ascii="Times New Roman" w:hAnsi="Times New Roman" w:cs="Times New Roman"/>
          <w:sz w:val="24"/>
          <w:szCs w:val="24"/>
        </w:rPr>
        <w:t>Съюза или свързват Съюза с една или повече трети държави и които попадат в една от следните категории: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а) електроенергия: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 системи за пренос и разпределение, като „пренос“ означава транспортирането на електроенергия на сушата и в открити води по свързана мрежа със свръхвисоко и високо напрежение с цел нейната доставка до крайни потребители или до разпределителни предприятия, но без да се включва пласмент, а „разпределение“ означава транспортирането на електроенергия на сушата и в открити води по разпределителни системи с високо, средно и ниско напрежение с цел нейната доставка до потребители, но без да се включва пласмент;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ii) всякакво оборудване или инсталации, които са от основно значение за безопасната, сигурна и ефективна работа на системите, посочени в подточка i), включително системите за защита, следене и управление за всички напрежения и подстанции;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iii) напълно интегрирани мрежови компоненти съгласно определението в член 2, точка (51) от Директива (ЕС) 2019/944 на Европейския парламент и на Съвета;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iv) интелигентни електроенергийни мрежи, което означава системи и компоненти, в които са интегрирани информационни и комуникационни технологии посредством оперативни цифрови платформи, системи за контрол и сензорни технологии на нивото на преносните мрежи и на разпределителните мрежи с цел изграждане на по-сигурни, ефективни и интелигентни преносни и разпределителни мрежи, увеличаване на способността за интегриране на нови форми за производство, съхраняване и потребление на енергия и улесняване на нови бизнес модели и пазарни структури;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lastRenderedPageBreak/>
        <w:t xml:space="preserve">v) електроенергийни мрежи в морето, което означава всяко съоръжение или всяка инсталация, в чийто състав се включва инфраструктура за пренос или разпределение на електроенергия съгласно определението в подточка i) по-горе, което притежава двойна функционалност: </w:t>
      </w:r>
      <w:proofErr w:type="spellStart"/>
      <w:r w:rsidRPr="00ED7F28">
        <w:rPr>
          <w:rFonts w:ascii="Times New Roman" w:hAnsi="Times New Roman" w:cs="Times New Roman"/>
          <w:sz w:val="24"/>
          <w:szCs w:val="24"/>
        </w:rPr>
        <w:t>междусистемна</w:t>
      </w:r>
      <w:proofErr w:type="spellEnd"/>
      <w:r w:rsidRPr="00ED7F28">
        <w:rPr>
          <w:rFonts w:ascii="Times New Roman" w:hAnsi="Times New Roman" w:cs="Times New Roman"/>
          <w:sz w:val="24"/>
          <w:szCs w:val="24"/>
        </w:rPr>
        <w:t xml:space="preserve"> свързаност и пренос или разпределение на електроенергия от възобновяеми източници в морето от обекти за производство, разположени в открити води, до две или повече държави. Това включва също интелигентни мрежи, както и съседни съоръжения или инсталации, които са разположени в морето и имат основно значение за безопасната, сигурна и ефективна експлоатация, включително системи за защита, следене и контрол, и необходимите подстанции, ако те също гарантират оперативна съвместимост и, наред с другото, съвместимост на интерфейсите между различни технологии.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б) газ (природен газ, биогаз — включително биометан — и/или газ от възобновяеми източници, но с небиологичен произход):</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 преносни и разпределителни газопроводи за транспортиране на газ, които са част от мрежа, с изключение на газопроводите с високо налягане, използвани за разпределение на природен газ в сборната част от мрежата;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ii) подземни хранилища, свързани с посочените в подточка i) газопроводи с високо налягане;</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iii) съоръжения за приемане, съхраняване и </w:t>
      </w:r>
      <w:proofErr w:type="spellStart"/>
      <w:r w:rsidRPr="00ED7F28">
        <w:rPr>
          <w:rFonts w:ascii="Times New Roman" w:hAnsi="Times New Roman" w:cs="Times New Roman"/>
          <w:sz w:val="24"/>
          <w:szCs w:val="24"/>
        </w:rPr>
        <w:t>регазификация</w:t>
      </w:r>
      <w:proofErr w:type="spellEnd"/>
      <w:r w:rsidRPr="00ED7F28">
        <w:rPr>
          <w:rFonts w:ascii="Times New Roman" w:hAnsi="Times New Roman" w:cs="Times New Roman"/>
          <w:sz w:val="24"/>
          <w:szCs w:val="24"/>
        </w:rPr>
        <w:t xml:space="preserve"> или понижаване на налягането на втечнен или сгъстен газ;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iv) всякакво оборудване или инсталации, които са от основно значение за безопасната, сигурна и ефективна работа на системата или за осигуряване на възможност за двупосочен капацитет, включително компресорни станции;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v) интелигентни газопреносни мрежи, което означава всяко или всяка от следните съоръжения или инсталации, предназначени за създаване на възможности или за улесняване на интегрирането в мрежата на възобновяеми и </w:t>
      </w:r>
      <w:proofErr w:type="spellStart"/>
      <w:r w:rsidRPr="00ED7F28">
        <w:rPr>
          <w:rFonts w:ascii="Times New Roman" w:hAnsi="Times New Roman" w:cs="Times New Roman"/>
          <w:sz w:val="24"/>
          <w:szCs w:val="24"/>
        </w:rPr>
        <w:t>нисковъглеродни</w:t>
      </w:r>
      <w:proofErr w:type="spellEnd"/>
      <w:r w:rsidRPr="00ED7F28">
        <w:rPr>
          <w:rFonts w:ascii="Times New Roman" w:hAnsi="Times New Roman" w:cs="Times New Roman"/>
          <w:sz w:val="24"/>
          <w:szCs w:val="24"/>
        </w:rPr>
        <w:t xml:space="preserve"> газове (включително водород или газове от небиологичен произход): цифрови системи и компоненти, в които са интегрирани информационни и комуникационни технологии, системи за управление и сензорни технологии с цел осигуряване на възможност за интерактивно и интелигентно следене, измерване, контрол на качеството и управление на производството, преноса, разпределението и потреблението на газ в газопреносната мрежа. Освен това интелигентните мрежи може също да включват съоръжения, предоставящи възможност за </w:t>
      </w:r>
      <w:proofErr w:type="spellStart"/>
      <w:r w:rsidRPr="00ED7F28">
        <w:rPr>
          <w:rFonts w:ascii="Times New Roman" w:hAnsi="Times New Roman" w:cs="Times New Roman"/>
          <w:sz w:val="24"/>
          <w:szCs w:val="24"/>
        </w:rPr>
        <w:t>реверсивно</w:t>
      </w:r>
      <w:proofErr w:type="spellEnd"/>
      <w:r w:rsidRPr="00ED7F28">
        <w:rPr>
          <w:rFonts w:ascii="Times New Roman" w:hAnsi="Times New Roman" w:cs="Times New Roman"/>
          <w:sz w:val="24"/>
          <w:szCs w:val="24"/>
        </w:rPr>
        <w:t xml:space="preserve"> подаване на газ от разпределителното към преносното ниво и съответните необходими модернизации на съществуващата мрежа.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в) водород: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 преносни тръбопроводи за транспортиране на водород под високо налягане, както и разпределителни тръбопроводи за локално разпределение на водород, чрез които се предоставя достъп на множество ползватели на мрежата въз основа на прозрачни и недискриминационни условия;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ii) съоръжения за съхранение, което означава съоръжения, използвани за складиране на водород с висока чистота. Тук се включва частта от водородния терминал, използвана за </w:t>
      </w:r>
      <w:r w:rsidRPr="00ED7F28">
        <w:rPr>
          <w:rFonts w:ascii="Times New Roman" w:hAnsi="Times New Roman" w:cs="Times New Roman"/>
          <w:sz w:val="24"/>
          <w:szCs w:val="24"/>
        </w:rPr>
        <w:lastRenderedPageBreak/>
        <w:t>съхранение, с изключение на частта, използвана за производствени операции, както и съоръженията, които се ползват единствено от операторите на водородни мрежи при изпълнението на техните функции. Съоръженията за съхранение на водород включват подземни хранилища, свързани с посочените в подточка i) тръбопроводи за транспортиране на водород под високо налягане;</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iii) съоръжения за </w:t>
      </w:r>
      <w:proofErr w:type="spellStart"/>
      <w:r w:rsidRPr="00ED7F28">
        <w:rPr>
          <w:rFonts w:ascii="Times New Roman" w:hAnsi="Times New Roman" w:cs="Times New Roman"/>
          <w:sz w:val="24"/>
          <w:szCs w:val="24"/>
        </w:rPr>
        <w:t>диспечиране</w:t>
      </w:r>
      <w:proofErr w:type="spellEnd"/>
      <w:r w:rsidRPr="00ED7F28">
        <w:rPr>
          <w:rFonts w:ascii="Times New Roman" w:hAnsi="Times New Roman" w:cs="Times New Roman"/>
          <w:sz w:val="24"/>
          <w:szCs w:val="24"/>
        </w:rPr>
        <w:t xml:space="preserve">, приемане, съхранение и </w:t>
      </w:r>
      <w:proofErr w:type="spellStart"/>
      <w:r w:rsidRPr="00ED7F28">
        <w:rPr>
          <w:rFonts w:ascii="Times New Roman" w:hAnsi="Times New Roman" w:cs="Times New Roman"/>
          <w:sz w:val="24"/>
          <w:szCs w:val="24"/>
        </w:rPr>
        <w:t>регазификация</w:t>
      </w:r>
      <w:proofErr w:type="spellEnd"/>
      <w:r w:rsidRPr="00ED7F28">
        <w:rPr>
          <w:rFonts w:ascii="Times New Roman" w:hAnsi="Times New Roman" w:cs="Times New Roman"/>
          <w:sz w:val="24"/>
          <w:szCs w:val="24"/>
        </w:rPr>
        <w:t xml:space="preserve"> или понижаване на налягането на водород или на водород, съдържащ се в други химични вещества, с цел нагнетяването му или в мрежа за газ, или в мрежа, специално предназначена за водород;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iv) терминали, което означава инсталации, използвани за преобразуване на течен водород в газообразен водород за нагнетяването му във водородната мрежа. Терминалите включват спомагателно оборудване и съоръжения за временно съхранение, необходими за процеса на преобразуване и последващото нагнетяване във водородната мрежа, но не включват части от водородния терминал, използвани за съхранение;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v) </w:t>
      </w:r>
      <w:proofErr w:type="spellStart"/>
      <w:r w:rsidRPr="00ED7F28">
        <w:rPr>
          <w:rFonts w:ascii="Times New Roman" w:hAnsi="Times New Roman" w:cs="Times New Roman"/>
          <w:sz w:val="24"/>
          <w:szCs w:val="24"/>
        </w:rPr>
        <w:t>междусистемни</w:t>
      </w:r>
      <w:proofErr w:type="spellEnd"/>
      <w:r w:rsidRPr="00ED7F28">
        <w:rPr>
          <w:rFonts w:ascii="Times New Roman" w:hAnsi="Times New Roman" w:cs="Times New Roman"/>
          <w:sz w:val="24"/>
          <w:szCs w:val="24"/>
        </w:rPr>
        <w:t xml:space="preserve"> връзки, което означава водородна мрежа (или част от нея), която пресича или се простира върху граница между държави членки или между държава членка и трета държава до територията на държавите членки или териториалното море на тази държава членка;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vi) всякакво оборудване или инсталации, които са от основно значение за безопасната, сигурна и ефективна работа на водородната система или за осигуряването на възможност за </w:t>
      </w:r>
      <w:proofErr w:type="spellStart"/>
      <w:r w:rsidRPr="00ED7F28">
        <w:rPr>
          <w:rFonts w:ascii="Times New Roman" w:hAnsi="Times New Roman" w:cs="Times New Roman"/>
          <w:sz w:val="24"/>
          <w:szCs w:val="24"/>
        </w:rPr>
        <w:t>реверсивно</w:t>
      </w:r>
      <w:proofErr w:type="spellEnd"/>
      <w:r w:rsidRPr="00ED7F28">
        <w:rPr>
          <w:rFonts w:ascii="Times New Roman" w:hAnsi="Times New Roman" w:cs="Times New Roman"/>
          <w:sz w:val="24"/>
          <w:szCs w:val="24"/>
        </w:rPr>
        <w:t xml:space="preserve"> подаване на газ, включително компресорни станции.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Всеки от активите в подточки i)—vi) може да е създаден чрез ново строителство или чрез преоборудване на съоръжения за природен газ в съоръжения за водород, или чрез комбинация от двата способа. Изброените в подточки i)—vi) активи, до които достъп имат трети страни, отговарят на условията, за да бъдат определени като енергийна инфраструктура.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г) въглероден диоксид: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 тръбопроводи, различни от тези на </w:t>
      </w:r>
      <w:proofErr w:type="spellStart"/>
      <w:r w:rsidRPr="00ED7F28">
        <w:rPr>
          <w:rFonts w:ascii="Times New Roman" w:hAnsi="Times New Roman" w:cs="Times New Roman"/>
          <w:sz w:val="24"/>
          <w:szCs w:val="24"/>
        </w:rPr>
        <w:t>добивните</w:t>
      </w:r>
      <w:proofErr w:type="spellEnd"/>
      <w:r w:rsidRPr="00ED7F28">
        <w:rPr>
          <w:rFonts w:ascii="Times New Roman" w:hAnsi="Times New Roman" w:cs="Times New Roman"/>
          <w:sz w:val="24"/>
          <w:szCs w:val="24"/>
        </w:rPr>
        <w:t xml:space="preserve"> газопреносни мрежи, използвани за транспортиране на въглероден диоксид, получен от повече от един източник, т.е. промишлени инсталации (включително електроцентрали), които произвеждат въглероден диоксид чрез изгаряне или други химични реакции, включващи изкопаеми и неизкопаеми </w:t>
      </w:r>
      <w:proofErr w:type="spellStart"/>
      <w:r w:rsidRPr="00ED7F28">
        <w:rPr>
          <w:rFonts w:ascii="Times New Roman" w:hAnsi="Times New Roman" w:cs="Times New Roman"/>
          <w:sz w:val="24"/>
          <w:szCs w:val="24"/>
        </w:rPr>
        <w:t>въглеродосъдържащи</w:t>
      </w:r>
      <w:proofErr w:type="spellEnd"/>
      <w:r w:rsidRPr="00ED7F28">
        <w:rPr>
          <w:rFonts w:ascii="Times New Roman" w:hAnsi="Times New Roman" w:cs="Times New Roman"/>
          <w:sz w:val="24"/>
          <w:szCs w:val="24"/>
        </w:rPr>
        <w:t xml:space="preserve"> съединения, с цел постоянно съхранение на въглероден диоксид в геоложки формации в съответствие с член 3 от Директива 2009/31/ЕО на Европейския парламент и на Съвета или с цел използване на въглеродния диоксид като изходна суровина или за повишаване на добивите от биологични процеси;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ii) съоръжения за втечняване и междинно съхраняване на въглероден диоксид с оглед на неговото транспортиране или съхраняване. Това не включва инфраструктура в рамките на геоложка формация, използвана за постоянно съхраняване на въглероден диоксид в геоложки формации съгласно член 3 от Директива 2009/31/ЕО и съответните наземни съоръжения и съоръжения за инжектиране;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lastRenderedPageBreak/>
        <w:t>iii) всякакво оборудване или инсталации, които са от основно значение за правилната, сигурна и ефективна работа на въпросната система, включително системи за защита, следене и управление. В това може да се включат специализирани мобилни средства за транспортиране и съхранение на въглероден диоксид, при условие че тези мобилни средства отговарят на определението за чисто превозно средство.</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Изброените в подточки i), ii) и iii) активи, до които достъп имат трети страни, отговарят на условията, за да бъдат определени като енергийна инфраструктура.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д) инфраструктура, използвана за пренос или разпределение на топлинна енергия във вид на пара, гореща вода или охладени течности от множество производители или потребители, която се основава на използването на възобновяема енергия или отпадна топлина от промишлени приложения;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е) проекти от общ интерес съгласно определението в член 2, точка (4) от Регламент (ЕС) № 347/2013 на Европейския парламент и на Съвета и проекти от общ интерес, посочени в член 171 от Договора;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ж) други категории инфраструктура, даваща възможност за физическа или безжична връзка между производители и потребители на възобновяема или </w:t>
      </w:r>
      <w:proofErr w:type="spellStart"/>
      <w:r w:rsidRPr="00ED7F28">
        <w:rPr>
          <w:rFonts w:ascii="Times New Roman" w:hAnsi="Times New Roman" w:cs="Times New Roman"/>
          <w:sz w:val="24"/>
          <w:szCs w:val="24"/>
        </w:rPr>
        <w:t>нисковъглеродна</w:t>
      </w:r>
      <w:proofErr w:type="spellEnd"/>
      <w:r w:rsidRPr="00ED7F28">
        <w:rPr>
          <w:rFonts w:ascii="Times New Roman" w:hAnsi="Times New Roman" w:cs="Times New Roman"/>
          <w:sz w:val="24"/>
          <w:szCs w:val="24"/>
        </w:rPr>
        <w:t xml:space="preserve"> енергия посредством множество точки за достъп и изход, достъпът до които е отворен за трети страни, които не са част от предприятията - собственици или управители на инфраструктурата.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Активите, изброени в букви а)-ж), които са изградени за един предварително определен потребител или малка група от предварително определени потребители, и пригодени към техните нужди („специална инфраструктура“), не отговарят на условията, за да бъдат определени като енергийна инфраструктура.</w:t>
      </w:r>
    </w:p>
    <w:p w:rsidR="008D4A9C" w:rsidRPr="00ED7F28" w:rsidRDefault="008D4A9C">
      <w:pPr>
        <w:jc w:val="both"/>
        <w:rPr>
          <w:rFonts w:ascii="Times New Roman" w:hAnsi="Times New Roman" w:cs="Times New Roman"/>
          <w:sz w:val="24"/>
          <w:szCs w:val="24"/>
        </w:rPr>
      </w:pP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Б) Са предприятия, които:</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 xml:space="preserve">Б1) </w:t>
      </w:r>
      <w:r w:rsidRPr="00ED7F28">
        <w:rPr>
          <w:rFonts w:ascii="Times New Roman" w:hAnsi="Times New Roman" w:cs="Times New Roman"/>
          <w:sz w:val="24"/>
          <w:szCs w:val="24"/>
        </w:rPr>
        <w:t>Са извършили преместване</w:t>
      </w:r>
      <w:r w:rsidRPr="00ED7F28">
        <w:rPr>
          <w:rStyle w:val="FootnoteReference"/>
          <w:rFonts w:ascii="Times New Roman" w:hAnsi="Times New Roman" w:cs="Times New Roman"/>
          <w:sz w:val="24"/>
          <w:szCs w:val="24"/>
        </w:rPr>
        <w:footnoteReference w:id="3"/>
      </w:r>
      <w:r w:rsidRPr="00ED7F28">
        <w:rPr>
          <w:rFonts w:ascii="Times New Roman" w:hAnsi="Times New Roman" w:cs="Times New Roman"/>
          <w:sz w:val="24"/>
          <w:szCs w:val="24"/>
        </w:rPr>
        <w:t xml:space="preserve"> към предприятието, в което предстои да бъде осъществена първоначалната инвестиция, за която предприятието кандидатства по настоящия проект през двете години, предхождащи подаването на настоящото предложение. Кандидатите се ангажират да не правят такова преместване за период до две години след приключването на първоначалната инвестиция, за която се иска помощта (съгласно Декларацията за държавни/минимални помощи (Приложение 3) към Условията за кандидатстване и </w:t>
      </w:r>
      <w:r w:rsidRPr="00ED7F28">
        <w:rPr>
          <w:rFonts w:ascii="Times New Roman" w:hAnsi="Times New Roman" w:cs="Times New Roman"/>
          <w:sz w:val="24"/>
          <w:szCs w:val="24"/>
        </w:rPr>
        <w:lastRenderedPageBreak/>
        <w:t xml:space="preserve">Административния договор за БФП с бенефициента (Приложение </w:t>
      </w:r>
      <w:r w:rsidR="005E2744" w:rsidRPr="00ED7F28">
        <w:rPr>
          <w:rFonts w:ascii="Times New Roman" w:hAnsi="Times New Roman" w:cs="Times New Roman"/>
          <w:sz w:val="24"/>
          <w:szCs w:val="24"/>
        </w:rPr>
        <w:t>11</w:t>
      </w:r>
      <w:r w:rsidRPr="00ED7F28">
        <w:rPr>
          <w:rFonts w:ascii="Times New Roman" w:hAnsi="Times New Roman" w:cs="Times New Roman"/>
          <w:sz w:val="24"/>
          <w:szCs w:val="24"/>
        </w:rPr>
        <w:t xml:space="preserve"> към Условията за изпълнение).</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ВАЖНО:</w:t>
      </w:r>
      <w:r w:rsidRPr="00ED7F28">
        <w:rPr>
          <w:rFonts w:ascii="Times New Roman" w:hAnsi="Times New Roman" w:cs="Times New Roman"/>
          <w:sz w:val="24"/>
          <w:szCs w:val="24"/>
        </w:rPr>
        <w:t xml:space="preserve"> Във връзка с посоченото изискване, кандидатът се разглежда на ниво група, която представлява една стопанска единица с общ източник на контрол, а не отделно юридическо лице.</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При установяване на обстоятелството по подточка Б1) по време на изпълнението на административния договор, сключен по процедурата, или в рамките на две години от изпълнението му, полученото безвъзмездно финансиране подлежи на възстановяване, включително начислената законна лихва. </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Б2) Са предприятия, които:</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ED7F28">
        <w:rPr>
          <w:rStyle w:val="FootnoteReference"/>
          <w:rFonts w:ascii="Times New Roman" w:hAnsi="Times New Roman" w:cs="Times New Roman"/>
          <w:sz w:val="24"/>
          <w:szCs w:val="24"/>
        </w:rPr>
        <w:footnoteReference w:id="4"/>
      </w:r>
      <w:r w:rsidRPr="00ED7F28">
        <w:rPr>
          <w:rFonts w:ascii="Times New Roman" w:hAnsi="Times New Roman" w:cs="Times New Roman"/>
          <w:sz w:val="24"/>
          <w:szCs w:val="24"/>
        </w:rPr>
        <w:t>;</w:t>
      </w:r>
    </w:p>
    <w:p w:rsidR="00677B4C" w:rsidRPr="00ED7F28" w:rsidRDefault="00677B4C">
      <w:pPr>
        <w:jc w:val="both"/>
        <w:rPr>
          <w:rFonts w:ascii="Times New Roman" w:hAnsi="Times New Roman" w:cs="Times New Roman"/>
          <w:sz w:val="24"/>
          <w:szCs w:val="24"/>
        </w:rPr>
      </w:pPr>
      <w:r w:rsidRPr="00ED7F28">
        <w:rPr>
          <w:rFonts w:ascii="Times New Roman" w:hAnsi="Times New Roman" w:cs="Times New Roman"/>
          <w:i/>
          <w:sz w:val="24"/>
          <w:szCs w:val="24"/>
        </w:rPr>
        <w:t xml:space="preserve">Управляващият орган ще извърши проверка на декларираното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w:t>
      </w:r>
      <w:r w:rsidRPr="00CD7A64">
        <w:rPr>
          <w:rFonts w:ascii="Times New Roman" w:hAnsi="Times New Roman" w:cs="Times New Roman"/>
          <w:i/>
          <w:sz w:val="24"/>
          <w:szCs w:val="24"/>
        </w:rPr>
        <w:t>несъвместима с общия пазар.</w:t>
      </w:r>
      <w:r w:rsidRPr="00CD7A64">
        <w:rPr>
          <w:rFonts w:ascii="Times New Roman" w:hAnsi="Times New Roman" w:cs="Times New Roman"/>
          <w:sz w:val="24"/>
          <w:szCs w:val="24"/>
        </w:rPr>
        <w:t xml:space="preserve"> </w:t>
      </w:r>
      <w:r w:rsidRPr="00ED7F28">
        <w:rPr>
          <w:rFonts w:ascii="Times New Roman" w:hAnsi="Times New Roman" w:cs="Times New Roman"/>
          <w:sz w:val="24"/>
          <w:szCs w:val="24"/>
        </w:rPr>
        <w:t xml:space="preserve">Проверката е на база информация в Публичния регистър на ЕК - </w:t>
      </w:r>
      <w:r w:rsidRPr="00CD7A64">
        <w:rPr>
          <w:rFonts w:ascii="Times New Roman" w:hAnsi="Times New Roman" w:cs="Times New Roman"/>
          <w:sz w:val="24"/>
          <w:szCs w:val="24"/>
        </w:rPr>
        <w:t>http://ec.europa.eu/competition/elojade/isef/index.cfm?clear=1&amp;policy_area_id=3):</w:t>
      </w:r>
      <w:r w:rsidRPr="00ED7F28">
        <w:rPr>
          <w:rFonts w:ascii="Times New Roman" w:hAnsi="Times New Roman" w:cs="Times New Roman"/>
          <w:sz w:val="24"/>
          <w:szCs w:val="24"/>
        </w:rPr>
        <w:t xml:space="preserve"> проверка по вид решение – отрицателно решение с възстановяване, както и в националния регистър - https://stateaid.minfin.bg/bg/483</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са „предприятия в затруднено положение“, по отношение на които е изпълнено поне едно от следните обстоятелства</w:t>
      </w:r>
      <w:r w:rsidRPr="00ED7F28">
        <w:rPr>
          <w:rStyle w:val="FootnoteReference"/>
          <w:rFonts w:ascii="Times New Roman" w:hAnsi="Times New Roman" w:cs="Times New Roman"/>
          <w:sz w:val="24"/>
          <w:szCs w:val="24"/>
        </w:rPr>
        <w:footnoteReference w:id="5"/>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w:t>
      </w:r>
      <w:r w:rsidRPr="00ED7F28">
        <w:rPr>
          <w:rFonts w:ascii="Times New Roman" w:hAnsi="Times New Roman"/>
          <w:sz w:val="24"/>
          <w:szCs w:val="24"/>
        </w:rPr>
        <w:t>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w:t>
      </w:r>
      <w:r w:rsidRPr="00ED7F28">
        <w:rPr>
          <w:rFonts w:ascii="Times New Roman" w:hAnsi="Times New Roman" w:cs="Times New Roman"/>
          <w:sz w:val="24"/>
          <w:szCs w:val="24"/>
        </w:rPr>
        <w:t xml:space="preserve">),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w:t>
      </w:r>
      <w:r w:rsidRPr="00ED7F28">
        <w:rPr>
          <w:rFonts w:ascii="Times New Roman" w:hAnsi="Times New Roman" w:cs="Times New Roman"/>
          <w:sz w:val="24"/>
          <w:szCs w:val="24"/>
        </w:rPr>
        <w:lastRenderedPageBreak/>
        <w:t>приложение I към Директива 2013/34/ЕС на Европейския парламент и на Съвета, а „акционерен капитал“ включва, ако е уместно, всякакви премии от емисии.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Преценката относно обстоятелството по т. 1 се извършва въз основа на данните за последната приключена финансова година, както следва: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ED7F28">
        <w:rPr>
          <w:rFonts w:ascii="Times New Roman" w:hAnsi="Times New Roman" w:cs="Times New Roman"/>
          <w:b/>
          <w:sz w:val="24"/>
          <w:szCs w:val="24"/>
        </w:rPr>
        <w:t>е отрицателна стойност</w:t>
      </w:r>
      <w:r w:rsidRPr="00ED7F28">
        <w:rPr>
          <w:rFonts w:ascii="Times New Roman" w:hAnsi="Times New Roman" w:cs="Times New Roman"/>
          <w:sz w:val="24"/>
          <w:szCs w:val="24"/>
        </w:rPr>
        <w:t>, която надвишава 50% от сумата на т. I „Записан капитал“ и т. II „Премии от емисии“ от раздел А „Собствен капитал“ на пасивите, описани в Счетоводния баланс</w:t>
      </w:r>
      <w:r w:rsidRPr="00ED7F28">
        <w:rPr>
          <w:rStyle w:val="FootnoteReference"/>
          <w:rFonts w:ascii="Times New Roman" w:hAnsi="Times New Roman" w:cs="Times New Roman"/>
          <w:sz w:val="24"/>
          <w:szCs w:val="24"/>
        </w:rPr>
        <w:footnoteReference w:id="6"/>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w:t>
      </w:r>
      <w:r w:rsidRPr="00ED7F28">
        <w:rPr>
          <w:rFonts w:ascii="Times New Roman" w:hAnsi="Times New Roman"/>
          <w:sz w:val="24"/>
          <w:szCs w:val="24"/>
        </w:rPr>
        <w:t>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w:t>
      </w:r>
      <w:r w:rsidRPr="00ED7F28">
        <w:rPr>
          <w:rFonts w:ascii="Times New Roman" w:hAnsi="Times New Roman" w:cs="Times New Roman"/>
          <w:sz w:val="24"/>
          <w:szCs w:val="24"/>
        </w:rPr>
        <w:t>),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 на Европейския парламент и на Съвета.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8D4A9C" w:rsidRPr="00ED7F28" w:rsidRDefault="008D4A9C">
      <w:pPr>
        <w:jc w:val="both"/>
        <w:rPr>
          <w:rFonts w:ascii="Times New Roman" w:hAnsi="Times New Roman" w:cs="Times New Roman"/>
          <w:sz w:val="24"/>
          <w:szCs w:val="24"/>
        </w:rPr>
      </w:pPr>
    </w:p>
    <w:p w:rsidR="008D4A9C" w:rsidRPr="00ED7F28" w:rsidRDefault="00030033">
      <w:pPr>
        <w:spacing w:before="120"/>
        <w:jc w:val="both"/>
        <w:rPr>
          <w:rFonts w:ascii="Times New Roman" w:hAnsi="Times New Roman" w:cs="Times New Roman"/>
          <w:sz w:val="24"/>
          <w:szCs w:val="24"/>
        </w:rPr>
      </w:pPr>
      <w:r w:rsidRPr="00ED7F28">
        <w:rPr>
          <w:rFonts w:ascii="Times New Roman" w:hAnsi="Times New Roman" w:cs="Times New Roman"/>
          <w:sz w:val="24"/>
          <w:szCs w:val="24"/>
        </w:rPr>
        <w:t xml:space="preserve">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административен договор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за държавни/минимални помощи (Приложение 3) и чрез извършване на служебна проверка на наличната информация в публичните регистри (вкл. ТР и регистъра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w:t>
      </w:r>
      <w:r w:rsidRPr="00ED7F28">
        <w:rPr>
          <w:rFonts w:ascii="Times New Roman" w:hAnsi="Times New Roman" w:cs="Times New Roman"/>
          <w:sz w:val="24"/>
          <w:szCs w:val="24"/>
        </w:rPr>
        <w:lastRenderedPageBreak/>
        <w:t>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rsidR="000632A5" w:rsidRPr="00ED7F28" w:rsidRDefault="000632A5">
      <w:pPr>
        <w:spacing w:before="120"/>
        <w:jc w:val="both"/>
        <w:rPr>
          <w:rFonts w:ascii="Times New Roman" w:hAnsi="Times New Roman" w:cs="Times New Roman"/>
          <w:sz w:val="24"/>
          <w:szCs w:val="24"/>
        </w:rPr>
      </w:pP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В) Финансирането представлява: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r w:rsidRPr="00ED7F28">
        <w:rPr>
          <w:rStyle w:val="FootnoteReference"/>
          <w:rFonts w:ascii="Times New Roman" w:hAnsi="Times New Roman" w:cs="Times New Roman"/>
          <w:sz w:val="24"/>
          <w:szCs w:val="24"/>
        </w:rPr>
        <w:footnoteReference w:id="7"/>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помощи, обвързани с условието за използване на местни (национално произведени стоки и услуги) за сметка на вносни стоки</w:t>
      </w:r>
      <w:r w:rsidRPr="00ED7F28">
        <w:rPr>
          <w:rStyle w:val="FootnoteReference"/>
          <w:rFonts w:ascii="Times New Roman" w:hAnsi="Times New Roman" w:cs="Times New Roman"/>
          <w:sz w:val="24"/>
          <w:szCs w:val="24"/>
        </w:rPr>
        <w:footnoteReference w:id="8"/>
      </w:r>
      <w:r w:rsidRPr="00ED7F28">
        <w:rPr>
          <w:rFonts w:ascii="Times New Roman" w:hAnsi="Times New Roman" w:cs="Times New Roman"/>
          <w:sz w:val="24"/>
          <w:szCs w:val="24"/>
        </w:rPr>
        <w:t>.</w:t>
      </w:r>
    </w:p>
    <w:p w:rsidR="008D4A9C" w:rsidRPr="00ED7F28" w:rsidRDefault="008D4A9C">
      <w:pPr>
        <w:spacing w:before="240" w:after="0" w:line="240" w:lineRule="auto"/>
        <w:jc w:val="both"/>
        <w:rPr>
          <w:rFonts w:ascii="Times New Roman" w:hAnsi="Times New Roman" w:cs="Times New Roman"/>
          <w:sz w:val="24"/>
          <w:szCs w:val="24"/>
        </w:rPr>
      </w:pPr>
    </w:p>
    <w:p w:rsidR="00FA0A5F" w:rsidRPr="00ED7F28" w:rsidRDefault="00030033" w:rsidP="007E6ABC">
      <w:pPr>
        <w:pStyle w:val="Heading1"/>
        <w:numPr>
          <w:ilvl w:val="0"/>
          <w:numId w:val="7"/>
        </w:numPr>
        <w:spacing w:before="120" w:after="120"/>
        <w:jc w:val="both"/>
        <w:rPr>
          <w:rFonts w:ascii="Times New Roman" w:eastAsia="Calibri" w:hAnsi="Times New Roman" w:cs="Times New Roman"/>
          <w:color w:val="auto"/>
          <w:sz w:val="24"/>
          <w:szCs w:val="24"/>
          <w:lang w:val="bg-BG"/>
        </w:rPr>
      </w:pPr>
      <w:r w:rsidRPr="00ED7F28">
        <w:rPr>
          <w:rFonts w:ascii="Times New Roman" w:eastAsia="Calibri" w:hAnsi="Times New Roman" w:cs="Times New Roman"/>
          <w:color w:val="auto"/>
          <w:sz w:val="24"/>
          <w:szCs w:val="24"/>
          <w:lang w:val="bg-BG"/>
        </w:rPr>
        <w:t xml:space="preserve">В случай че e приложим РЕЖИМ </w:t>
      </w:r>
      <w:r w:rsidR="00FA0A5F" w:rsidRPr="00ED7F28">
        <w:rPr>
          <w:rFonts w:ascii="Times New Roman" w:eastAsia="Calibri" w:hAnsi="Times New Roman" w:cs="Times New Roman"/>
          <w:color w:val="auto"/>
          <w:sz w:val="24"/>
          <w:szCs w:val="24"/>
          <w:lang w:val="bg-BG"/>
        </w:rPr>
        <w:t xml:space="preserve">съгласно член 18 „Помощи за консултантски услуги в полза на МСП“, чл. 22 „Помощи за стартиращи предприятия“, чл. 28, пар. 2, букви </w:t>
      </w:r>
      <w:r w:rsidR="00045546" w:rsidRPr="00ED7F28">
        <w:rPr>
          <w:rFonts w:ascii="Times New Roman" w:eastAsia="Calibri" w:hAnsi="Times New Roman" w:cs="Times New Roman"/>
          <w:color w:val="auto"/>
          <w:sz w:val="24"/>
          <w:szCs w:val="24"/>
          <w:lang w:val="bg-BG"/>
        </w:rPr>
        <w:t xml:space="preserve">а), б) и </w:t>
      </w:r>
      <w:r w:rsidR="00FA0A5F" w:rsidRPr="00ED7F28">
        <w:rPr>
          <w:rFonts w:ascii="Times New Roman" w:eastAsia="Calibri" w:hAnsi="Times New Roman" w:cs="Times New Roman"/>
          <w:color w:val="auto"/>
          <w:sz w:val="24"/>
          <w:szCs w:val="24"/>
          <w:lang w:val="bg-BG"/>
        </w:rPr>
        <w:t>в)</w:t>
      </w:r>
      <w:r w:rsidR="00F00D83" w:rsidRPr="00ED7F28">
        <w:rPr>
          <w:rFonts w:ascii="Times New Roman" w:eastAsia="Calibri" w:hAnsi="Times New Roman" w:cs="Times New Roman"/>
          <w:color w:val="auto"/>
          <w:sz w:val="24"/>
          <w:szCs w:val="24"/>
          <w:lang w:val="bg-BG"/>
        </w:rPr>
        <w:t xml:space="preserve"> </w:t>
      </w:r>
      <w:r w:rsidR="00FA0A5F" w:rsidRPr="00ED7F28">
        <w:rPr>
          <w:rFonts w:ascii="Times New Roman" w:eastAsia="Calibri" w:hAnsi="Times New Roman" w:cs="Times New Roman"/>
          <w:color w:val="auto"/>
          <w:sz w:val="24"/>
          <w:szCs w:val="24"/>
          <w:lang w:val="bg-BG"/>
        </w:rPr>
        <w:t>„Пом</w:t>
      </w:r>
      <w:r w:rsidR="00F00D83" w:rsidRPr="00ED7F28">
        <w:rPr>
          <w:rFonts w:ascii="Times New Roman" w:eastAsia="Calibri" w:hAnsi="Times New Roman" w:cs="Times New Roman"/>
          <w:color w:val="auto"/>
          <w:sz w:val="24"/>
          <w:szCs w:val="24"/>
          <w:lang w:val="bg-BG"/>
        </w:rPr>
        <w:t>ощи за иновации в полза на МСП“,</w:t>
      </w:r>
      <w:r w:rsidR="00045546" w:rsidRPr="00ED7F28">
        <w:rPr>
          <w:rFonts w:ascii="Times New Roman" w:eastAsia="Calibri" w:hAnsi="Times New Roman" w:cs="Times New Roman"/>
          <w:color w:val="auto"/>
          <w:sz w:val="24"/>
          <w:szCs w:val="24"/>
          <w:lang w:val="bg-BG"/>
        </w:rPr>
        <w:t xml:space="preserve"> </w:t>
      </w:r>
      <w:r w:rsidR="00F00D83" w:rsidRPr="00ED7F28">
        <w:rPr>
          <w:rFonts w:ascii="Times New Roman" w:eastAsia="Calibri" w:hAnsi="Times New Roman" w:cs="Times New Roman"/>
          <w:color w:val="auto"/>
          <w:sz w:val="24"/>
          <w:szCs w:val="24"/>
          <w:lang w:val="bg-BG"/>
        </w:rPr>
        <w:t xml:space="preserve"> чл.31</w:t>
      </w:r>
      <w:r w:rsidR="005D47D2" w:rsidRPr="00ED7F28">
        <w:rPr>
          <w:rFonts w:ascii="Times New Roman" w:eastAsia="Calibri" w:hAnsi="Times New Roman" w:cs="Times New Roman"/>
          <w:color w:val="auto"/>
          <w:sz w:val="24"/>
          <w:szCs w:val="24"/>
          <w:lang w:val="bg-BG"/>
        </w:rPr>
        <w:t>.</w:t>
      </w:r>
      <w:r w:rsidR="00FA0A5F" w:rsidRPr="00ED7F28">
        <w:rPr>
          <w:rFonts w:ascii="Times New Roman" w:eastAsia="Calibri" w:hAnsi="Times New Roman" w:cs="Times New Roman"/>
          <w:color w:val="auto"/>
          <w:sz w:val="24"/>
          <w:szCs w:val="24"/>
          <w:lang w:val="bg-BG"/>
        </w:rPr>
        <w:t>„Помощи за обучение“</w:t>
      </w:r>
      <w:r w:rsidR="00F00D83" w:rsidRPr="00ED7F28">
        <w:rPr>
          <w:rFonts w:ascii="Times New Roman" w:eastAsia="Calibri" w:hAnsi="Times New Roman" w:cs="Times New Roman"/>
          <w:color w:val="auto"/>
          <w:sz w:val="24"/>
          <w:szCs w:val="24"/>
          <w:lang w:val="bg-BG"/>
        </w:rPr>
        <w:t>, чл. 41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w:t>
      </w:r>
      <w:r w:rsidR="00BF1658" w:rsidRPr="00ED7F28">
        <w:rPr>
          <w:rFonts w:ascii="Times New Roman" w:eastAsia="Calibri" w:hAnsi="Times New Roman" w:cs="Times New Roman"/>
          <w:color w:val="auto"/>
          <w:sz w:val="24"/>
          <w:szCs w:val="24"/>
          <w:lang w:val="bg-BG"/>
        </w:rPr>
        <w:t>,</w:t>
      </w:r>
      <w:r w:rsidR="00F00D83" w:rsidRPr="00ED7F28">
        <w:rPr>
          <w:rFonts w:ascii="Times New Roman" w:eastAsia="Calibri" w:hAnsi="Times New Roman" w:cs="Times New Roman"/>
          <w:color w:val="auto"/>
          <w:sz w:val="24"/>
          <w:szCs w:val="24"/>
          <w:lang w:val="bg-BG"/>
        </w:rPr>
        <w:t xml:space="preserve"> </w:t>
      </w:r>
      <w:r w:rsidR="00BF1658" w:rsidRPr="00ED7F28">
        <w:rPr>
          <w:rFonts w:ascii="Times New Roman" w:eastAsia="Calibri" w:hAnsi="Times New Roman" w:cs="Times New Roman"/>
          <w:color w:val="auto"/>
          <w:sz w:val="24"/>
          <w:szCs w:val="24"/>
          <w:lang w:val="bg-BG"/>
        </w:rPr>
        <w:t xml:space="preserve">чл. 47„Инвестиционни помощи за ефективност на ресурсите и за подпомагане на прехода към кръгова икономика“ </w:t>
      </w:r>
      <w:r w:rsidR="00FA0A5F" w:rsidRPr="00ED7F28">
        <w:rPr>
          <w:rFonts w:ascii="Times New Roman" w:eastAsia="Calibri" w:hAnsi="Times New Roman" w:cs="Times New Roman"/>
          <w:color w:val="auto"/>
          <w:sz w:val="24"/>
          <w:szCs w:val="24"/>
          <w:lang w:val="bg-BG"/>
        </w:rPr>
        <w:t xml:space="preserve">на Регламент (ЕС) № 651/2014 на Комисията </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1. Максимален размер на помощта:</w:t>
      </w:r>
    </w:p>
    <w:p w:rsidR="005D47D2" w:rsidRPr="00ED7F28" w:rsidRDefault="00030033" w:rsidP="005D47D2">
      <w:pPr>
        <w:jc w:val="both"/>
        <w:rPr>
          <w:rFonts w:ascii="Times New Roman" w:hAnsi="Times New Roman" w:cs="Times New Roman"/>
          <w:bCs/>
          <w:sz w:val="24"/>
          <w:szCs w:val="24"/>
        </w:rPr>
      </w:pPr>
      <w:r w:rsidRPr="00ED7F28">
        <w:rPr>
          <w:rFonts w:ascii="Times New Roman" w:hAnsi="Times New Roman" w:cs="Times New Roman"/>
          <w:sz w:val="24"/>
          <w:szCs w:val="24"/>
        </w:rPr>
        <w:t xml:space="preserve">Безвъзмездното финансиране, за което се кандидатства </w:t>
      </w:r>
      <w:r w:rsidR="005D47D2" w:rsidRPr="00ED7F28">
        <w:rPr>
          <w:rFonts w:ascii="Times New Roman" w:hAnsi="Times New Roman" w:cs="Times New Roman"/>
          <w:sz w:val="24"/>
          <w:szCs w:val="24"/>
        </w:rPr>
        <w:t xml:space="preserve">е съгласно праговете и интензитетите, посочени в т.10 „Процент на съфинансиране“  от Условията за кандидатстване </w:t>
      </w:r>
    </w:p>
    <w:p w:rsidR="008D4A9C" w:rsidRPr="00ED7F28" w:rsidRDefault="00030033">
      <w:pPr>
        <w:jc w:val="both"/>
        <w:rPr>
          <w:rFonts w:ascii="Times New Roman" w:hAnsi="Times New Roman" w:cs="Times New Roman"/>
          <w:b/>
          <w:bCs/>
          <w:sz w:val="24"/>
          <w:szCs w:val="24"/>
        </w:rPr>
      </w:pPr>
      <w:r w:rsidRPr="00ED7F28">
        <w:rPr>
          <w:rFonts w:ascii="Times New Roman" w:hAnsi="Times New Roman" w:cs="Times New Roman"/>
          <w:b/>
          <w:sz w:val="24"/>
          <w:szCs w:val="24"/>
        </w:rPr>
        <w:t xml:space="preserve">Проверката за съответствие с посочения максимално допустим размер на помощта се извършва при отчитане на общия размер на </w:t>
      </w:r>
      <w:r w:rsidRPr="00ED7F28">
        <w:rPr>
          <w:rFonts w:ascii="Times New Roman" w:hAnsi="Times New Roman" w:cs="Times New Roman"/>
          <w:b/>
          <w:bCs/>
          <w:sz w:val="24"/>
          <w:szCs w:val="24"/>
        </w:rPr>
        <w:t xml:space="preserve">държавната помощ и/или минималната помощ, получена във връзка със същите </w:t>
      </w:r>
      <w:proofErr w:type="spellStart"/>
      <w:r w:rsidRPr="00ED7F28">
        <w:rPr>
          <w:rFonts w:ascii="Times New Roman" w:hAnsi="Times New Roman" w:cs="Times New Roman"/>
          <w:b/>
          <w:bCs/>
          <w:sz w:val="24"/>
          <w:szCs w:val="24"/>
        </w:rPr>
        <w:t>установими</w:t>
      </w:r>
      <w:proofErr w:type="spellEnd"/>
      <w:r w:rsidRPr="00ED7F28">
        <w:rPr>
          <w:rFonts w:ascii="Times New Roman" w:hAnsi="Times New Roman" w:cs="Times New Roman"/>
          <w:b/>
          <w:bCs/>
          <w:sz w:val="24"/>
          <w:szCs w:val="24"/>
        </w:rPr>
        <w:t xml:space="preserve"> допустими разходи, които се припокриват частично или напълно с разходите на кандидата по проекта.</w:t>
      </w:r>
    </w:p>
    <w:p w:rsidR="007E6ABC" w:rsidRPr="00ED7F28" w:rsidRDefault="007E6ABC" w:rsidP="007E6ABC">
      <w:pPr>
        <w:jc w:val="both"/>
        <w:rPr>
          <w:rFonts w:ascii="Times New Roman" w:hAnsi="Times New Roman" w:cs="Times New Roman"/>
          <w:bCs/>
          <w:sz w:val="24"/>
          <w:szCs w:val="24"/>
        </w:rPr>
      </w:pPr>
      <w:r w:rsidRPr="00ED7F28">
        <w:rPr>
          <w:rFonts w:ascii="Times New Roman" w:hAnsi="Times New Roman" w:cs="Times New Roman"/>
          <w:bCs/>
          <w:sz w:val="24"/>
          <w:szCs w:val="24"/>
        </w:rPr>
        <w:t>За да се изчислят интензитетът на помощта и допустимите разходи, всички използвани данни се събират преди приспадането на данъци и други такси. 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 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w:t>
      </w:r>
      <w:r w:rsidRPr="00ED7F28">
        <w:rPr>
          <w:rFonts w:ascii="Times New Roman" w:hAnsi="Times New Roman" w:cs="Times New Roman"/>
          <w:bCs/>
          <w:sz w:val="24"/>
          <w:szCs w:val="24"/>
          <w:vertAlign w:val="superscript"/>
        </w:rPr>
        <w:footnoteReference w:id="9"/>
      </w:r>
      <w:r w:rsidRPr="00ED7F28">
        <w:rPr>
          <w:rFonts w:ascii="Times New Roman" w:hAnsi="Times New Roman" w:cs="Times New Roman"/>
          <w:bCs/>
          <w:sz w:val="24"/>
          <w:szCs w:val="24"/>
        </w:rPr>
        <w:t xml:space="preserve"> Лихвеният процент, който се използва за сконтиране, </w:t>
      </w:r>
      <w:r w:rsidRPr="00ED7F28">
        <w:rPr>
          <w:rFonts w:ascii="Times New Roman" w:hAnsi="Times New Roman" w:cs="Times New Roman"/>
          <w:bCs/>
          <w:sz w:val="24"/>
          <w:szCs w:val="24"/>
        </w:rPr>
        <w:lastRenderedPageBreak/>
        <w:t>е сконтовият процент, приложим към момента на предоставяне на помощта.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rsidR="007E6ABC" w:rsidRPr="00ED7F28" w:rsidRDefault="007E6ABC">
      <w:pPr>
        <w:jc w:val="both"/>
        <w:rPr>
          <w:rFonts w:ascii="Times New Roman" w:hAnsi="Times New Roman" w:cs="Times New Roman"/>
          <w:bCs/>
          <w:sz w:val="24"/>
          <w:szCs w:val="24"/>
        </w:rPr>
      </w:pPr>
    </w:p>
    <w:p w:rsidR="005D47D2" w:rsidRPr="00ED7F28" w:rsidRDefault="00030033" w:rsidP="005D47D2">
      <w:pPr>
        <w:jc w:val="both"/>
        <w:rPr>
          <w:rFonts w:ascii="Times New Roman" w:hAnsi="Times New Roman" w:cs="Times New Roman"/>
          <w:b/>
          <w:sz w:val="24"/>
          <w:szCs w:val="24"/>
        </w:rPr>
      </w:pPr>
      <w:r w:rsidRPr="00ED7F28">
        <w:rPr>
          <w:rFonts w:ascii="Times New Roman" w:hAnsi="Times New Roman" w:cs="Times New Roman"/>
          <w:b/>
          <w:sz w:val="24"/>
          <w:szCs w:val="24"/>
        </w:rPr>
        <w:t xml:space="preserve">2. Недопустими кандидати при приложим режим </w:t>
      </w:r>
      <w:r w:rsidR="005D47D2" w:rsidRPr="00ED7F28">
        <w:rPr>
          <w:rFonts w:ascii="Times New Roman" w:hAnsi="Times New Roman" w:cs="Times New Roman"/>
          <w:b/>
          <w:sz w:val="24"/>
          <w:szCs w:val="24"/>
        </w:rPr>
        <w:t xml:space="preserve">съгласно член 18 „Помощи за консултантски услуги в полза на МСП“, чл. 22 „Помощи за стартиращи предприятия“, чл. 28, пар. 2, букви </w:t>
      </w:r>
      <w:r w:rsidR="00045546" w:rsidRPr="00ED7F28">
        <w:rPr>
          <w:rFonts w:ascii="Times New Roman" w:hAnsi="Times New Roman" w:cs="Times New Roman"/>
          <w:b/>
          <w:sz w:val="24"/>
          <w:szCs w:val="24"/>
        </w:rPr>
        <w:t xml:space="preserve">а), б) и </w:t>
      </w:r>
      <w:r w:rsidR="005D47D2" w:rsidRPr="00ED7F28">
        <w:rPr>
          <w:rFonts w:ascii="Times New Roman" w:hAnsi="Times New Roman" w:cs="Times New Roman"/>
          <w:b/>
          <w:sz w:val="24"/>
          <w:szCs w:val="24"/>
        </w:rPr>
        <w:t xml:space="preserve">в) „Помощи за иновации в полза на МСП“, чл.31.„Помощи за обучение“, чл. 41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чл. 47„Инвестиционни помощи за ефективност на ресурсите и за подпомагане на прехода към кръгова икономика“ на Регламент (ЕС) № 651/2014 на Комисията </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 xml:space="preserve">Кандидатите не могат да участват </w:t>
      </w:r>
      <w:r w:rsidRPr="00ED7F28">
        <w:rPr>
          <w:rFonts w:ascii="Times New Roman" w:hAnsi="Times New Roman" w:cs="Times New Roman"/>
          <w:sz w:val="24"/>
          <w:szCs w:val="24"/>
        </w:rPr>
        <w:t xml:space="preserve">в процедурата и да получат безвъзмездно финансиране, в случай че попадат в </w:t>
      </w:r>
      <w:r w:rsidRPr="00ED7F28">
        <w:rPr>
          <w:rFonts w:ascii="Times New Roman" w:hAnsi="Times New Roman" w:cs="Times New Roman"/>
          <w:b/>
          <w:sz w:val="24"/>
          <w:szCs w:val="24"/>
        </w:rPr>
        <w:t>забранителните режими</w:t>
      </w:r>
      <w:r w:rsidRPr="00ED7F28">
        <w:rPr>
          <w:rFonts w:ascii="Times New Roman" w:hAnsi="Times New Roman" w:cs="Times New Roman"/>
          <w:sz w:val="24"/>
          <w:szCs w:val="24"/>
        </w:rPr>
        <w:t xml:space="preserve"> съгласно чл. 1, пар. 3</w:t>
      </w:r>
      <w:r w:rsidR="00230CCD" w:rsidRPr="00ED7F28">
        <w:rPr>
          <w:rFonts w:ascii="Times New Roman" w:hAnsi="Times New Roman" w:cs="Times New Roman"/>
          <w:sz w:val="24"/>
          <w:szCs w:val="24"/>
        </w:rPr>
        <w:t>, 4, 5 и 6</w:t>
      </w:r>
      <w:r w:rsidRPr="00ED7F28">
        <w:rPr>
          <w:rFonts w:ascii="Times New Roman" w:hAnsi="Times New Roman" w:cs="Times New Roman"/>
          <w:sz w:val="24"/>
          <w:szCs w:val="24"/>
        </w:rPr>
        <w:t xml:space="preserve"> на </w:t>
      </w:r>
      <w:r w:rsidRPr="00ED7F28">
        <w:rPr>
          <w:rFonts w:ascii="Times New Roman" w:hAnsi="Times New Roman" w:cs="Times New Roman"/>
          <w:bCs/>
          <w:sz w:val="24"/>
          <w:szCs w:val="24"/>
        </w:rPr>
        <w:t xml:space="preserve">Регламент (ЕС) № 651/2014 </w:t>
      </w:r>
      <w:r w:rsidRPr="00ED7F28">
        <w:rPr>
          <w:rFonts w:ascii="Times New Roman" w:hAnsi="Times New Roman" w:cs="Times New Roman"/>
          <w:sz w:val="24"/>
          <w:szCs w:val="24"/>
        </w:rPr>
        <w:t>и по-конкретно, ако:</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А)</w:t>
      </w:r>
      <w:r w:rsidRPr="00ED7F28">
        <w:rPr>
          <w:rFonts w:ascii="Times New Roman" w:hAnsi="Times New Roman" w:cs="Times New Roman"/>
          <w:sz w:val="24"/>
          <w:szCs w:val="24"/>
        </w:rPr>
        <w:t xml:space="preserve"> </w:t>
      </w:r>
      <w:r w:rsidRPr="00ED7F28">
        <w:rPr>
          <w:rFonts w:ascii="Times New Roman" w:hAnsi="Times New Roman" w:cs="Times New Roman"/>
          <w:b/>
          <w:sz w:val="24"/>
          <w:szCs w:val="24"/>
        </w:rPr>
        <w:t>Икономическата дейност</w:t>
      </w:r>
      <w:r w:rsidRPr="00ED7F28">
        <w:rPr>
          <w:rFonts w:ascii="Times New Roman" w:hAnsi="Times New Roman" w:cs="Times New Roman"/>
          <w:sz w:val="24"/>
          <w:szCs w:val="24"/>
        </w:rPr>
        <w:t>,</w:t>
      </w:r>
      <w:r w:rsidRPr="00ED7F28">
        <w:rPr>
          <w:rFonts w:ascii="Times New Roman" w:hAnsi="Times New Roman" w:cs="Times New Roman"/>
          <w:b/>
          <w:sz w:val="24"/>
          <w:szCs w:val="24"/>
        </w:rPr>
        <w:t xml:space="preserve"> за която кандидатстват се отнася до:</w:t>
      </w:r>
    </w:p>
    <w:p w:rsidR="00E32D8E" w:rsidRPr="00ED7F28" w:rsidRDefault="00E32D8E" w:rsidP="00E32D8E">
      <w:pPr>
        <w:spacing w:after="0"/>
        <w:jc w:val="both"/>
        <w:rPr>
          <w:rFonts w:ascii="Times New Roman" w:hAnsi="Times New Roman" w:cs="Times New Roman"/>
          <w:sz w:val="24"/>
          <w:szCs w:val="24"/>
        </w:rPr>
      </w:pPr>
      <w:r w:rsidRPr="00ED7F28">
        <w:rPr>
          <w:rFonts w:ascii="Times New Roman" w:hAnsi="Times New Roman" w:cs="Times New Roman"/>
          <w:sz w:val="24"/>
          <w:szCs w:val="24"/>
        </w:rPr>
        <w:t>• помощите, предоставяни в сектора на рибарството и акваку</w:t>
      </w:r>
      <w:r w:rsidR="00230CCD" w:rsidRPr="00ED7F28">
        <w:rPr>
          <w:rFonts w:ascii="Times New Roman" w:hAnsi="Times New Roman" w:cs="Times New Roman"/>
          <w:sz w:val="24"/>
          <w:szCs w:val="24"/>
        </w:rPr>
        <w:t xml:space="preserve">лтурите, в обхвата на Регламент </w:t>
      </w:r>
      <w:r w:rsidRPr="00ED7F28">
        <w:rPr>
          <w:rFonts w:ascii="Times New Roman" w:hAnsi="Times New Roman" w:cs="Times New Roman"/>
          <w:sz w:val="24"/>
          <w:szCs w:val="24"/>
        </w:rPr>
        <w:t>(ЕС) №1379/2013 на Европейския парламент и на Съвета</w:t>
      </w:r>
      <w:r w:rsidRPr="00ED7F28">
        <w:rPr>
          <w:rStyle w:val="FootnoteReference"/>
          <w:rFonts w:ascii="Times New Roman" w:hAnsi="Times New Roman" w:cs="Times New Roman"/>
          <w:sz w:val="24"/>
          <w:szCs w:val="24"/>
        </w:rPr>
        <w:footnoteReference w:id="10"/>
      </w:r>
    </w:p>
    <w:p w:rsidR="00E32D8E" w:rsidRPr="00ED7F28" w:rsidRDefault="00E32D8E" w:rsidP="00E32D8E">
      <w:pPr>
        <w:spacing w:after="0"/>
        <w:jc w:val="both"/>
        <w:rPr>
          <w:rFonts w:ascii="Times New Roman" w:hAnsi="Times New Roman" w:cs="Times New Roman"/>
          <w:sz w:val="24"/>
          <w:szCs w:val="24"/>
        </w:rPr>
      </w:pPr>
      <w:r w:rsidRPr="00ED7F28">
        <w:rPr>
          <w:rFonts w:ascii="Times New Roman" w:hAnsi="Times New Roman" w:cs="Times New Roman"/>
          <w:sz w:val="24"/>
          <w:szCs w:val="24"/>
        </w:rPr>
        <w:t>• помощи, предоставени в сектора на първичното производство на селскостопански продукти</w:t>
      </w:r>
      <w:r w:rsidR="00E9745D" w:rsidRPr="00ED7F28">
        <w:rPr>
          <w:rStyle w:val="FootnoteReference"/>
          <w:rFonts w:ascii="Times New Roman" w:hAnsi="Times New Roman" w:cs="Times New Roman"/>
          <w:sz w:val="24"/>
          <w:szCs w:val="24"/>
        </w:rPr>
        <w:footnoteReference w:id="11"/>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сектора на преработка</w:t>
      </w:r>
      <w:r w:rsidRPr="00ED7F28">
        <w:rPr>
          <w:rStyle w:val="FootnoteReference"/>
          <w:rFonts w:ascii="Times New Roman" w:hAnsi="Times New Roman" w:cs="Times New Roman"/>
          <w:sz w:val="24"/>
          <w:szCs w:val="24"/>
        </w:rPr>
        <w:footnoteReference w:id="12"/>
      </w:r>
      <w:r w:rsidRPr="00ED7F28">
        <w:rPr>
          <w:rFonts w:ascii="Times New Roman" w:hAnsi="Times New Roman" w:cs="Times New Roman"/>
          <w:sz w:val="24"/>
          <w:szCs w:val="24"/>
        </w:rPr>
        <w:t xml:space="preserve"> и продажба на селскостопански продукти, в следните случаи:</w:t>
      </w:r>
    </w:p>
    <w:p w:rsidR="008D4A9C" w:rsidRPr="00ED7F28" w:rsidRDefault="00030033">
      <w:pPr>
        <w:spacing w:after="0"/>
        <w:jc w:val="both"/>
        <w:rPr>
          <w:rFonts w:ascii="Times New Roman" w:hAnsi="Times New Roman" w:cs="Times New Roman"/>
          <w:sz w:val="24"/>
          <w:szCs w:val="24"/>
        </w:rPr>
      </w:pPr>
      <w:r w:rsidRPr="00ED7F28">
        <w:rPr>
          <w:rFonts w:ascii="Times New Roman" w:hAnsi="Times New Roman" w:cs="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когато помощта е обвързана със задължението да бъде прехвърлена частично или изцяло на първичните производители;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b/>
          <w:sz w:val="24"/>
          <w:szCs w:val="24"/>
        </w:rPr>
        <w:t xml:space="preserve">А1) </w:t>
      </w:r>
      <w:r w:rsidRPr="00ED7F28">
        <w:rPr>
          <w:rFonts w:ascii="Times New Roman" w:hAnsi="Times New Roman" w:cs="Times New Roman"/>
          <w:sz w:val="24"/>
          <w:szCs w:val="24"/>
        </w:rPr>
        <w:t>Проектното предложение съдържа дейности за улесняване на закриването на неконкурентоспособни въглищни мини в съответствие с Решение 2010/787/ЕС на Съвета.</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Б) Са предприятия, които:</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lastRenderedPageBreak/>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ED7F28">
        <w:rPr>
          <w:rStyle w:val="FootnoteReference"/>
          <w:rFonts w:ascii="Times New Roman" w:hAnsi="Times New Roman" w:cs="Times New Roman"/>
          <w:sz w:val="24"/>
          <w:szCs w:val="24"/>
        </w:rPr>
        <w:footnoteReference w:id="13"/>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са „предприятия в затруднено положение“, по отношение на които е изпълнено поне едно от следните обстоятелства</w:t>
      </w:r>
      <w:r w:rsidRPr="00ED7F28">
        <w:rPr>
          <w:rStyle w:val="FootnoteReference"/>
          <w:rFonts w:ascii="Times New Roman" w:hAnsi="Times New Roman" w:cs="Times New Roman"/>
          <w:sz w:val="24"/>
          <w:szCs w:val="24"/>
        </w:rPr>
        <w:footnoteReference w:id="14"/>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w:t>
      </w:r>
      <w:r w:rsidRPr="00ED7F28">
        <w:rPr>
          <w:rFonts w:ascii="Times New Roman" w:hAnsi="Times New Roman"/>
          <w:sz w:val="24"/>
          <w:szCs w:val="24"/>
        </w:rPr>
        <w:t>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w:t>
      </w:r>
      <w:r w:rsidRPr="00ED7F28">
        <w:rPr>
          <w:rFonts w:ascii="Times New Roman" w:hAnsi="Times New Roman" w:cs="Times New Roman"/>
          <w:sz w:val="24"/>
          <w:szCs w:val="24"/>
        </w:rPr>
        <w:t>),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на Европейския парламент и на Съвета, а „акционерен капитал“ включва, ако е уместно, всякакви премии от емисии.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Преценката относно обстоятелството по т. 1 се извършва въз основа на данните за последната приключена финансова година, както следва: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ED7F28">
        <w:rPr>
          <w:rFonts w:ascii="Times New Roman" w:hAnsi="Times New Roman" w:cs="Times New Roman"/>
          <w:b/>
          <w:sz w:val="24"/>
          <w:szCs w:val="24"/>
        </w:rPr>
        <w:t>е отрицателна стойност</w:t>
      </w:r>
      <w:r w:rsidRPr="00ED7F28">
        <w:rPr>
          <w:rFonts w:ascii="Times New Roman" w:hAnsi="Times New Roman" w:cs="Times New Roman"/>
          <w:sz w:val="24"/>
          <w:szCs w:val="24"/>
        </w:rPr>
        <w:t>, която надвишава 50% от сумата на т. I „Записан капитал“ и т. II „Премии от емисии“ от раздел А „Собствен капитал“ на пасивите, описани в Счетоводния баланс</w:t>
      </w:r>
      <w:r w:rsidRPr="00ED7F28">
        <w:rPr>
          <w:rStyle w:val="FootnoteReference"/>
          <w:rFonts w:ascii="Times New Roman" w:hAnsi="Times New Roman" w:cs="Times New Roman"/>
          <w:sz w:val="24"/>
          <w:szCs w:val="24"/>
        </w:rPr>
        <w:footnoteReference w:id="15"/>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xml:space="preserve">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w:t>
      </w:r>
      <w:r w:rsidRPr="00ED7F28">
        <w:rPr>
          <w:rFonts w:ascii="Times New Roman" w:hAnsi="Times New Roman"/>
          <w:sz w:val="24"/>
          <w:szCs w:val="24"/>
        </w:rPr>
        <w:t>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w:t>
      </w:r>
      <w:r w:rsidRPr="00ED7F28">
        <w:rPr>
          <w:rFonts w:ascii="Times New Roman" w:hAnsi="Times New Roman" w:cs="Times New Roman"/>
          <w:sz w:val="24"/>
          <w:szCs w:val="24"/>
        </w:rPr>
        <w:t xml:space="preserve">),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w:t>
      </w:r>
      <w:r w:rsidRPr="00ED7F28">
        <w:rPr>
          <w:rFonts w:ascii="Times New Roman" w:hAnsi="Times New Roman" w:cs="Times New Roman"/>
          <w:sz w:val="24"/>
          <w:szCs w:val="24"/>
        </w:rPr>
        <w:lastRenderedPageBreak/>
        <w:t>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 на Европейския парламент и на Съвета.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8D4A9C" w:rsidRPr="00ED7F28" w:rsidRDefault="00030033">
      <w:pPr>
        <w:spacing w:before="120"/>
        <w:jc w:val="both"/>
        <w:rPr>
          <w:rFonts w:ascii="Times New Roman" w:hAnsi="Times New Roman" w:cs="Times New Roman"/>
          <w:sz w:val="24"/>
          <w:szCs w:val="24"/>
        </w:rPr>
      </w:pPr>
      <w:r w:rsidRPr="00ED7F28">
        <w:rPr>
          <w:rFonts w:ascii="Times New Roman" w:hAnsi="Times New Roman" w:cs="Times New Roman"/>
          <w:sz w:val="24"/>
          <w:szCs w:val="24"/>
        </w:rPr>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административен договор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за държавни/минимални помощи (Приложение 3) и чрез извършване на служебна проверка на наличната информация в публичните регистри (вкл. ТР и регистъра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rsidR="008D4A9C" w:rsidRPr="00ED7F28" w:rsidRDefault="00030033">
      <w:pPr>
        <w:jc w:val="both"/>
        <w:rPr>
          <w:rFonts w:ascii="Times New Roman" w:hAnsi="Times New Roman" w:cs="Times New Roman"/>
          <w:b/>
          <w:sz w:val="24"/>
          <w:szCs w:val="24"/>
        </w:rPr>
      </w:pPr>
      <w:r w:rsidRPr="00ED7F28">
        <w:rPr>
          <w:rFonts w:ascii="Times New Roman" w:hAnsi="Times New Roman" w:cs="Times New Roman"/>
          <w:b/>
          <w:sz w:val="24"/>
          <w:szCs w:val="24"/>
        </w:rPr>
        <w:t>В) Финансирането представлява:</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r w:rsidRPr="00ED7F28">
        <w:rPr>
          <w:rStyle w:val="FootnoteReference"/>
          <w:rFonts w:ascii="Times New Roman" w:hAnsi="Times New Roman" w:cs="Times New Roman"/>
          <w:sz w:val="24"/>
          <w:szCs w:val="24"/>
        </w:rPr>
        <w:footnoteReference w:id="16"/>
      </w:r>
      <w:r w:rsidRPr="00ED7F28">
        <w:rPr>
          <w:rFonts w:ascii="Times New Roman" w:hAnsi="Times New Roman" w:cs="Times New Roman"/>
          <w:sz w:val="24"/>
          <w:szCs w:val="24"/>
        </w:rPr>
        <w:t>;</w:t>
      </w:r>
    </w:p>
    <w:p w:rsidR="008D4A9C" w:rsidRPr="00ED7F28" w:rsidRDefault="00030033">
      <w:pPr>
        <w:jc w:val="both"/>
        <w:rPr>
          <w:rFonts w:ascii="Times New Roman" w:hAnsi="Times New Roman" w:cs="Times New Roman"/>
          <w:sz w:val="24"/>
          <w:szCs w:val="24"/>
        </w:rPr>
      </w:pPr>
      <w:r w:rsidRPr="00ED7F28">
        <w:rPr>
          <w:rFonts w:ascii="Times New Roman" w:hAnsi="Times New Roman" w:cs="Times New Roman"/>
          <w:sz w:val="24"/>
          <w:szCs w:val="24"/>
        </w:rPr>
        <w:t>• помощи, обвързани с условието за използване на местни (национално произведени стоки и услуги) за сметка на вносни стоки и услуги</w:t>
      </w:r>
      <w:r w:rsidRPr="00ED7F28">
        <w:rPr>
          <w:rStyle w:val="FootnoteReference"/>
          <w:rFonts w:ascii="Times New Roman" w:hAnsi="Times New Roman" w:cs="Times New Roman"/>
          <w:sz w:val="24"/>
          <w:szCs w:val="24"/>
        </w:rPr>
        <w:footnoteReference w:id="17"/>
      </w:r>
      <w:r w:rsidRPr="00ED7F28">
        <w:rPr>
          <w:rFonts w:ascii="Times New Roman" w:hAnsi="Times New Roman" w:cs="Times New Roman"/>
          <w:sz w:val="24"/>
          <w:szCs w:val="24"/>
        </w:rPr>
        <w:t>.</w:t>
      </w:r>
    </w:p>
    <w:p w:rsidR="00000A4C" w:rsidRPr="00ED7F28" w:rsidRDefault="00000A4C" w:rsidP="00000A4C">
      <w:pPr>
        <w:jc w:val="both"/>
        <w:rPr>
          <w:rFonts w:ascii="Times New Roman" w:hAnsi="Times New Roman" w:cs="Times New Roman"/>
          <w:b/>
          <w:sz w:val="24"/>
          <w:szCs w:val="24"/>
        </w:rPr>
      </w:pPr>
      <w:r w:rsidRPr="00ED7F28">
        <w:rPr>
          <w:rFonts w:ascii="Times New Roman" w:hAnsi="Times New Roman" w:cs="Times New Roman"/>
          <w:b/>
          <w:sz w:val="24"/>
          <w:szCs w:val="24"/>
        </w:rPr>
        <w:t xml:space="preserve">• </w:t>
      </w:r>
      <w:r w:rsidRPr="00ED7F28">
        <w:rPr>
          <w:rFonts w:ascii="Times New Roman" w:hAnsi="Times New Roman" w:cs="Times New Roman"/>
          <w:sz w:val="24"/>
          <w:szCs w:val="24"/>
        </w:rPr>
        <w:t>помощ за производство на ядрена енергия (за Помощи по чл. 41 „Инвестиционни помощи за насърчаване на енергията от възобновяеми източници, на водород от възобновяеми източници и на високоефективно комбинирано производство на енергия“, чл. 47„Инвестиционни помощи за ефективност на ресурсите и за подпомагане на прехода към кръгова икономика“ на Регламент (ЕС) № 651/2014 на Комисията)</w:t>
      </w:r>
    </w:p>
    <w:p w:rsidR="00000A4C" w:rsidRPr="00ED7F28" w:rsidRDefault="00000A4C">
      <w:pPr>
        <w:jc w:val="both"/>
        <w:rPr>
          <w:rFonts w:ascii="Times New Roman" w:hAnsi="Times New Roman" w:cs="Times New Roman"/>
          <w:sz w:val="24"/>
          <w:szCs w:val="24"/>
        </w:rPr>
      </w:pPr>
    </w:p>
    <w:p w:rsidR="008D4A9C" w:rsidRPr="00ED7F28" w:rsidRDefault="008D4A9C" w:rsidP="007E6ABC">
      <w:pPr>
        <w:pStyle w:val="Heading1"/>
        <w:spacing w:before="120" w:after="120"/>
        <w:jc w:val="both"/>
        <w:rPr>
          <w:rFonts w:ascii="Times New Roman" w:hAnsi="Times New Roman"/>
          <w:color w:val="auto"/>
          <w:sz w:val="24"/>
          <w:szCs w:val="24"/>
          <w:lang w:val="bg-BG"/>
        </w:rPr>
      </w:pPr>
    </w:p>
    <w:p w:rsidR="008D4A9C" w:rsidRPr="00ED7F28" w:rsidRDefault="00030033" w:rsidP="007E6ABC">
      <w:pPr>
        <w:pStyle w:val="Heading1"/>
        <w:numPr>
          <w:ilvl w:val="0"/>
          <w:numId w:val="7"/>
        </w:numPr>
        <w:spacing w:before="120" w:after="120"/>
        <w:jc w:val="both"/>
        <w:rPr>
          <w:rStyle w:val="CommentReference"/>
          <w:rFonts w:ascii="Times New Roman" w:hAnsi="Times New Roman"/>
          <w:color w:val="auto"/>
          <w:sz w:val="24"/>
          <w:szCs w:val="24"/>
          <w:lang w:val="bg-BG"/>
        </w:rPr>
      </w:pPr>
      <w:r w:rsidRPr="00ED7F28">
        <w:rPr>
          <w:rStyle w:val="CommentReference"/>
          <w:rFonts w:ascii="Times New Roman" w:hAnsi="Times New Roman"/>
          <w:color w:val="auto"/>
          <w:sz w:val="24"/>
          <w:szCs w:val="24"/>
          <w:lang w:val="bg-BG"/>
        </w:rPr>
        <w:t>Прозрачност на помощта и стимулиращ ефект</w:t>
      </w:r>
      <w:r w:rsidR="007E6ABC" w:rsidRPr="00ED7F28">
        <w:rPr>
          <w:rStyle w:val="CommentReference"/>
          <w:rFonts w:ascii="Times New Roman" w:hAnsi="Times New Roman"/>
          <w:color w:val="auto"/>
          <w:sz w:val="24"/>
          <w:szCs w:val="24"/>
          <w:lang w:val="bg-BG"/>
        </w:rPr>
        <w:t>, приложим за всички режими съгласно Регламент (ЕС) № 651/2014.</w:t>
      </w:r>
    </w:p>
    <w:p w:rsidR="008D4A9C" w:rsidRPr="00ED7F28" w:rsidRDefault="00030033">
      <w:pPr>
        <w:spacing w:before="120" w:after="120"/>
        <w:jc w:val="both"/>
        <w:rPr>
          <w:rStyle w:val="CommentReference"/>
          <w:rFonts w:ascii="Times New Roman" w:hAnsi="Times New Roman"/>
          <w:sz w:val="24"/>
          <w:szCs w:val="24"/>
        </w:rPr>
      </w:pPr>
      <w:r w:rsidRPr="00ED7F28">
        <w:rPr>
          <w:rFonts w:ascii="Times New Roman" w:hAnsi="Times New Roman"/>
          <w:sz w:val="24"/>
          <w:szCs w:val="24"/>
        </w:rPr>
        <w:t>Средствата по процедурата се счита за прозрачни на основание чл. 5, пар.2, б. а) от Регламент (ЕС) № 651/2014.</w:t>
      </w:r>
    </w:p>
    <w:p w:rsidR="008D4A9C" w:rsidRPr="00ED7F28" w:rsidRDefault="00030033">
      <w:pPr>
        <w:spacing w:before="120" w:after="120"/>
        <w:jc w:val="both"/>
        <w:rPr>
          <w:rFonts w:ascii="Times New Roman" w:hAnsi="Times New Roman"/>
          <w:sz w:val="24"/>
          <w:szCs w:val="24"/>
          <w:lang w:bidi="bg-BG"/>
        </w:rPr>
      </w:pPr>
      <w:r w:rsidRPr="00ED7F28">
        <w:rPr>
          <w:rFonts w:ascii="Times New Roman" w:hAnsi="Times New Roman"/>
          <w:sz w:val="24"/>
          <w:szCs w:val="24"/>
          <w:lang w:bidi="bg-BG"/>
        </w:rPr>
        <w:t>Финансиране по процедурата могат да получават единствено проектни предложения, които отговарят на изискванията за стимулиращ ефект, респективно са подали Формуляр за кандидатстване съдържащ поне информацията посочена в чл. 6, пар. 2 от Регламент 651/2014.</w:t>
      </w:r>
    </w:p>
    <w:p w:rsidR="008D4A9C" w:rsidRPr="00ED7F28" w:rsidRDefault="00030033">
      <w:pPr>
        <w:spacing w:before="120" w:after="120"/>
        <w:jc w:val="both"/>
        <w:rPr>
          <w:rFonts w:ascii="Times New Roman" w:hAnsi="Times New Roman"/>
          <w:sz w:val="24"/>
          <w:szCs w:val="24"/>
        </w:rPr>
      </w:pPr>
      <w:r w:rsidRPr="00ED7F28">
        <w:rPr>
          <w:rFonts w:ascii="Times New Roman" w:hAnsi="Times New Roman"/>
          <w:sz w:val="24"/>
          <w:szCs w:val="24"/>
        </w:rPr>
        <w:t xml:space="preserve">За проектни предложения или дейности в режим на помощ </w:t>
      </w:r>
      <w:r w:rsidR="007E6ABC" w:rsidRPr="00ED7F28">
        <w:rPr>
          <w:rFonts w:ascii="Times New Roman" w:hAnsi="Times New Roman"/>
          <w:sz w:val="24"/>
          <w:szCs w:val="24"/>
        </w:rPr>
        <w:t>съгласно</w:t>
      </w:r>
      <w:r w:rsidRPr="00ED7F28">
        <w:rPr>
          <w:rFonts w:ascii="Times New Roman" w:hAnsi="Times New Roman"/>
          <w:sz w:val="24"/>
          <w:szCs w:val="24"/>
        </w:rP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 (ОРГО), разходите са допустими за финансиране след подаване на проектното предложения </w:t>
      </w:r>
      <w:r w:rsidRPr="00ED7F28">
        <w:rPr>
          <w:rFonts w:ascii="Times New Roman" w:hAnsi="Times New Roman"/>
          <w:b/>
          <w:sz w:val="24"/>
          <w:szCs w:val="24"/>
        </w:rPr>
        <w:t>до 31.12.2029 г.</w:t>
      </w:r>
    </w:p>
    <w:p w:rsidR="008D4A9C" w:rsidRPr="00ED7F28" w:rsidRDefault="008D4A9C">
      <w:pPr>
        <w:spacing w:before="120" w:after="120"/>
        <w:jc w:val="both"/>
        <w:rPr>
          <w:rStyle w:val="CommentReference"/>
          <w:rFonts w:ascii="Times New Roman" w:hAnsi="Times New Roman"/>
          <w:sz w:val="24"/>
          <w:szCs w:val="24"/>
        </w:rPr>
      </w:pPr>
    </w:p>
    <w:p w:rsidR="008D4A9C" w:rsidRPr="00ED7F28" w:rsidRDefault="00030033">
      <w:pPr>
        <w:spacing w:before="120" w:after="120"/>
        <w:jc w:val="both"/>
        <w:rPr>
          <w:rFonts w:ascii="Times New Roman" w:hAnsi="Times New Roman"/>
          <w:sz w:val="24"/>
          <w:szCs w:val="24"/>
          <w:lang w:bidi="bg-BG"/>
        </w:rPr>
      </w:pPr>
      <w:r w:rsidRPr="00ED7F28">
        <w:rPr>
          <w:rFonts w:ascii="Times New Roman" w:hAnsi="Times New Roman"/>
          <w:b/>
          <w:sz w:val="24"/>
          <w:szCs w:val="24"/>
          <w:lang w:bidi="bg-BG"/>
        </w:rPr>
        <w:t xml:space="preserve">Приема се че помощта има стимулиращ ефект ако получателя </w:t>
      </w:r>
      <w:r w:rsidR="00C635E0" w:rsidRPr="00ED7F28">
        <w:rPr>
          <w:rFonts w:ascii="Times New Roman" w:hAnsi="Times New Roman"/>
          <w:b/>
          <w:sz w:val="24"/>
          <w:szCs w:val="24"/>
          <w:lang w:bidi="bg-BG"/>
        </w:rPr>
        <w:t xml:space="preserve">на помощта </w:t>
      </w:r>
      <w:r w:rsidRPr="00ED7F28">
        <w:rPr>
          <w:rFonts w:ascii="Times New Roman" w:hAnsi="Times New Roman"/>
          <w:b/>
          <w:sz w:val="24"/>
          <w:szCs w:val="24"/>
          <w:lang w:bidi="bg-BG"/>
        </w:rPr>
        <w:t>(</w:t>
      </w:r>
      <w:proofErr w:type="spellStart"/>
      <w:r w:rsidRPr="00ED7F28">
        <w:rPr>
          <w:rFonts w:ascii="Times New Roman" w:hAnsi="Times New Roman"/>
          <w:b/>
          <w:sz w:val="24"/>
          <w:szCs w:val="24"/>
          <w:lang w:bidi="bg-BG"/>
        </w:rPr>
        <w:t>бенефициерът</w:t>
      </w:r>
      <w:proofErr w:type="spellEnd"/>
      <w:r w:rsidRPr="00ED7F28">
        <w:rPr>
          <w:rFonts w:ascii="Times New Roman" w:hAnsi="Times New Roman"/>
          <w:b/>
          <w:sz w:val="24"/>
          <w:szCs w:val="24"/>
          <w:lang w:bidi="bg-BG"/>
        </w:rPr>
        <w:t xml:space="preserve">) е подал писмено заявление за помощ до държавата членка </w:t>
      </w:r>
      <w:r w:rsidRPr="00ED7F28">
        <w:rPr>
          <w:rFonts w:ascii="Times New Roman" w:hAnsi="Times New Roman"/>
          <w:b/>
          <w:sz w:val="24"/>
          <w:szCs w:val="24"/>
          <w:u w:val="single"/>
          <w:lang w:bidi="bg-BG"/>
        </w:rPr>
        <w:t>преди работата</w:t>
      </w:r>
      <w:r w:rsidRPr="00ED7F28">
        <w:rPr>
          <w:rFonts w:ascii="Times New Roman" w:hAnsi="Times New Roman"/>
          <w:sz w:val="24"/>
          <w:szCs w:val="24"/>
          <w:u w:val="single"/>
          <w:lang w:bidi="bg-BG"/>
        </w:rPr>
        <w:t xml:space="preserve"> </w:t>
      </w:r>
      <w:r w:rsidRPr="00ED7F28">
        <w:rPr>
          <w:rFonts w:ascii="Times New Roman" w:hAnsi="Times New Roman"/>
          <w:b/>
          <w:sz w:val="24"/>
          <w:szCs w:val="24"/>
          <w:u w:val="single"/>
          <w:lang w:bidi="bg-BG"/>
        </w:rPr>
        <w:t>по проекта или дейностите да е започнала</w:t>
      </w:r>
      <w:r w:rsidRPr="00ED7F28">
        <w:rPr>
          <w:rStyle w:val="FootnoteReference"/>
          <w:rFonts w:ascii="Times New Roman" w:hAnsi="Times New Roman"/>
          <w:b/>
          <w:sz w:val="24"/>
          <w:szCs w:val="24"/>
          <w:u w:val="single"/>
          <w:lang w:bidi="bg-BG"/>
        </w:rPr>
        <w:footnoteReference w:id="18"/>
      </w:r>
      <w:r w:rsidRPr="00ED7F28">
        <w:rPr>
          <w:rFonts w:ascii="Times New Roman" w:hAnsi="Times New Roman"/>
          <w:b/>
          <w:sz w:val="24"/>
          <w:szCs w:val="24"/>
          <w:lang w:bidi="bg-BG"/>
        </w:rPr>
        <w:t xml:space="preserve">. </w:t>
      </w:r>
      <w:proofErr w:type="spellStart"/>
      <w:r w:rsidRPr="00ED7F28">
        <w:rPr>
          <w:rFonts w:ascii="Times New Roman" w:hAnsi="Times New Roman"/>
          <w:sz w:val="24"/>
          <w:szCs w:val="24"/>
          <w:lang w:bidi="bg-BG"/>
        </w:rPr>
        <w:t>Бенефициерът</w:t>
      </w:r>
      <w:proofErr w:type="spellEnd"/>
      <w:r w:rsidRPr="00ED7F28">
        <w:rPr>
          <w:rFonts w:ascii="Times New Roman" w:hAnsi="Times New Roman"/>
          <w:sz w:val="24"/>
          <w:szCs w:val="24"/>
          <w:lang w:bidi="bg-BG"/>
        </w:rPr>
        <w:t xml:space="preserve"> (</w:t>
      </w:r>
      <w:r w:rsidR="007E6ABC" w:rsidRPr="00ED7F28">
        <w:rPr>
          <w:rFonts w:ascii="Times New Roman" w:hAnsi="Times New Roman"/>
          <w:sz w:val="24"/>
          <w:szCs w:val="24"/>
          <w:lang w:bidi="bg-BG"/>
        </w:rPr>
        <w:t>кандидата</w:t>
      </w:r>
      <w:r w:rsidRPr="00ED7F28">
        <w:rPr>
          <w:rFonts w:ascii="Times New Roman" w:hAnsi="Times New Roman"/>
          <w:sz w:val="24"/>
          <w:szCs w:val="24"/>
          <w:lang w:bidi="bg-BG"/>
        </w:rPr>
        <w:t>) е подал заявление за помощ, което съдържа поне следната информация:</w:t>
      </w:r>
    </w:p>
    <w:p w:rsidR="008D4A9C" w:rsidRPr="00ED7F28" w:rsidRDefault="00030033">
      <w:pPr>
        <w:numPr>
          <w:ilvl w:val="1"/>
          <w:numId w:val="2"/>
        </w:numPr>
        <w:spacing w:before="120" w:after="120" w:line="240" w:lineRule="auto"/>
        <w:jc w:val="both"/>
        <w:rPr>
          <w:rFonts w:ascii="Times New Roman" w:hAnsi="Times New Roman"/>
          <w:sz w:val="24"/>
          <w:szCs w:val="24"/>
          <w:lang w:bidi="bg-BG"/>
        </w:rPr>
      </w:pPr>
      <w:r w:rsidRPr="00ED7F28">
        <w:rPr>
          <w:rFonts w:ascii="Times New Roman" w:hAnsi="Times New Roman"/>
          <w:sz w:val="24"/>
          <w:szCs w:val="24"/>
          <w:lang w:bidi="bg-BG"/>
        </w:rPr>
        <w:t>наименование и големина на предприятието;</w:t>
      </w:r>
    </w:p>
    <w:p w:rsidR="008D4A9C" w:rsidRPr="00ED7F28" w:rsidRDefault="00030033">
      <w:pPr>
        <w:numPr>
          <w:ilvl w:val="1"/>
          <w:numId w:val="2"/>
        </w:numPr>
        <w:spacing w:before="120" w:after="120" w:line="240" w:lineRule="auto"/>
        <w:jc w:val="both"/>
        <w:rPr>
          <w:rFonts w:ascii="Times New Roman" w:hAnsi="Times New Roman"/>
          <w:sz w:val="24"/>
          <w:szCs w:val="24"/>
          <w:lang w:bidi="bg-BG"/>
        </w:rPr>
      </w:pPr>
      <w:r w:rsidRPr="00ED7F28">
        <w:rPr>
          <w:rFonts w:ascii="Times New Roman" w:hAnsi="Times New Roman"/>
          <w:sz w:val="24"/>
          <w:szCs w:val="24"/>
          <w:lang w:bidi="bg-BG"/>
        </w:rPr>
        <w:t>описание на проекта, включително неговата начална и крайна дата;</w:t>
      </w:r>
    </w:p>
    <w:p w:rsidR="008D4A9C" w:rsidRPr="00ED7F28" w:rsidRDefault="00030033">
      <w:pPr>
        <w:numPr>
          <w:ilvl w:val="1"/>
          <w:numId w:val="2"/>
        </w:numPr>
        <w:spacing w:before="120" w:after="120" w:line="240" w:lineRule="auto"/>
        <w:jc w:val="both"/>
        <w:rPr>
          <w:rFonts w:ascii="Times New Roman" w:hAnsi="Times New Roman"/>
          <w:sz w:val="24"/>
          <w:szCs w:val="24"/>
          <w:lang w:bidi="bg-BG"/>
        </w:rPr>
      </w:pPr>
      <w:r w:rsidRPr="00ED7F28">
        <w:rPr>
          <w:rFonts w:ascii="Times New Roman" w:hAnsi="Times New Roman"/>
          <w:sz w:val="24"/>
          <w:szCs w:val="24"/>
          <w:lang w:bidi="bg-BG"/>
        </w:rPr>
        <w:t>местонахождение на проекта;</w:t>
      </w:r>
    </w:p>
    <w:p w:rsidR="008D4A9C" w:rsidRPr="00ED7F28" w:rsidRDefault="00030033">
      <w:pPr>
        <w:numPr>
          <w:ilvl w:val="1"/>
          <w:numId w:val="2"/>
        </w:numPr>
        <w:spacing w:before="120" w:after="120" w:line="240" w:lineRule="auto"/>
        <w:jc w:val="both"/>
        <w:rPr>
          <w:rFonts w:ascii="Times New Roman" w:hAnsi="Times New Roman"/>
          <w:sz w:val="24"/>
          <w:szCs w:val="24"/>
          <w:lang w:bidi="bg-BG"/>
        </w:rPr>
      </w:pPr>
      <w:r w:rsidRPr="00ED7F28">
        <w:rPr>
          <w:rFonts w:ascii="Times New Roman" w:hAnsi="Times New Roman"/>
          <w:sz w:val="24"/>
          <w:szCs w:val="24"/>
          <w:lang w:bidi="bg-BG"/>
        </w:rPr>
        <w:t>списък с разходите по проекта;</w:t>
      </w:r>
    </w:p>
    <w:p w:rsidR="008D4A9C" w:rsidRPr="00ED7F28" w:rsidRDefault="00030033">
      <w:pPr>
        <w:numPr>
          <w:ilvl w:val="1"/>
          <w:numId w:val="2"/>
        </w:numPr>
        <w:spacing w:before="120" w:after="120" w:line="240" w:lineRule="auto"/>
        <w:jc w:val="both"/>
        <w:rPr>
          <w:rFonts w:ascii="Times New Roman" w:hAnsi="Times New Roman"/>
          <w:sz w:val="24"/>
          <w:szCs w:val="24"/>
          <w:lang w:bidi="bg-BG"/>
        </w:rPr>
      </w:pPr>
      <w:r w:rsidRPr="00ED7F28">
        <w:rPr>
          <w:rFonts w:ascii="Times New Roman" w:hAnsi="Times New Roman"/>
          <w:sz w:val="24"/>
          <w:szCs w:val="24"/>
          <w:lang w:bidi="bg-BG"/>
        </w:rPr>
        <w:t xml:space="preserve">вид на помощта (безвъзмездни средства, заем, гаранция, </w:t>
      </w:r>
      <w:proofErr w:type="spellStart"/>
      <w:r w:rsidRPr="00ED7F28">
        <w:rPr>
          <w:rFonts w:ascii="Times New Roman" w:hAnsi="Times New Roman"/>
          <w:sz w:val="24"/>
          <w:szCs w:val="24"/>
          <w:lang w:bidi="bg-BG"/>
        </w:rPr>
        <w:t>възстановяем</w:t>
      </w:r>
      <w:proofErr w:type="spellEnd"/>
      <w:r w:rsidRPr="00ED7F28">
        <w:rPr>
          <w:rFonts w:ascii="Times New Roman" w:hAnsi="Times New Roman"/>
          <w:sz w:val="24"/>
          <w:szCs w:val="24"/>
          <w:lang w:bidi="bg-BG"/>
        </w:rPr>
        <w:t xml:space="preserve"> аванс, вливане на капитал и т.н.) и размер на публичното финансиране, необходимо за проекта.</w:t>
      </w:r>
    </w:p>
    <w:p w:rsidR="008D4A9C" w:rsidRPr="00ED7F28" w:rsidRDefault="00030033">
      <w:pPr>
        <w:spacing w:before="120" w:after="120"/>
        <w:jc w:val="both"/>
        <w:rPr>
          <w:rFonts w:ascii="Times New Roman" w:hAnsi="Times New Roman"/>
          <w:b/>
          <w:sz w:val="24"/>
          <w:szCs w:val="24"/>
          <w:lang w:bidi="bg-BG"/>
        </w:rPr>
      </w:pPr>
      <w:r w:rsidRPr="00ED7F28">
        <w:rPr>
          <w:rFonts w:ascii="Times New Roman" w:hAnsi="Times New Roman"/>
          <w:b/>
          <w:sz w:val="24"/>
          <w:szCs w:val="24"/>
          <w:lang w:bidi="bg-BG"/>
        </w:rPr>
        <w:t>Предвид че в насоките за кандидатстване е посочено, че допустимостта на разходите по Регламент (ЕС) № 651/2014 на Комисията от 17 юни 2014 е ако са извършени след подаване на предложението следва да се счита, че са изпълнени условията за стимулиращ ефект.</w:t>
      </w:r>
    </w:p>
    <w:p w:rsidR="008D4A9C" w:rsidRPr="00ED7F28" w:rsidRDefault="00030033">
      <w:pPr>
        <w:spacing w:before="120" w:after="120"/>
        <w:jc w:val="both"/>
        <w:rPr>
          <w:rFonts w:ascii="Times New Roman" w:hAnsi="Times New Roman"/>
          <w:b/>
          <w:sz w:val="24"/>
          <w:szCs w:val="24"/>
          <w:lang w:bidi="bg-BG"/>
        </w:rPr>
      </w:pPr>
      <w:r w:rsidRPr="00ED7F28">
        <w:rPr>
          <w:rFonts w:ascii="Times New Roman" w:hAnsi="Times New Roman"/>
          <w:b/>
          <w:bCs/>
          <w:sz w:val="24"/>
          <w:szCs w:val="24"/>
          <w:lang w:bidi="bg-BG"/>
        </w:rPr>
        <w:t xml:space="preserve">Дейностите, свързани </w:t>
      </w:r>
      <w:r w:rsidRPr="00ED7F28">
        <w:rPr>
          <w:rFonts w:ascii="Times New Roman" w:hAnsi="Times New Roman"/>
          <w:b/>
          <w:sz w:val="24"/>
          <w:szCs w:val="24"/>
          <w:lang w:bidi="bg-BG"/>
        </w:rPr>
        <w:t>предварителни</w:t>
      </w:r>
      <w:r w:rsidR="007E6ABC" w:rsidRPr="00ED7F28">
        <w:rPr>
          <w:rFonts w:ascii="Times New Roman" w:hAnsi="Times New Roman"/>
          <w:b/>
          <w:sz w:val="24"/>
          <w:szCs w:val="24"/>
          <w:lang w:bidi="bg-BG"/>
        </w:rPr>
        <w:t xml:space="preserve"> разходи</w:t>
      </w:r>
      <w:r w:rsidRPr="00ED7F28">
        <w:rPr>
          <w:rFonts w:ascii="Times New Roman" w:hAnsi="Times New Roman"/>
          <w:b/>
          <w:sz w:val="24"/>
          <w:szCs w:val="24"/>
          <w:lang w:bidi="bg-BG"/>
        </w:rPr>
        <w:t xml:space="preserve"> по смисъла на чл. 2, т. 23 от Регламент (ЕС) № 651/2014 на Комисията от 17 юни 2014 не нарушават стимулиращия ефект на помощта! В тази връзка разходите за предварителни дейности са допустими за финансиране по схем</w:t>
      </w:r>
      <w:r w:rsidR="007E6ABC" w:rsidRPr="00ED7F28">
        <w:rPr>
          <w:rFonts w:ascii="Times New Roman" w:hAnsi="Times New Roman"/>
          <w:b/>
          <w:sz w:val="24"/>
          <w:szCs w:val="24"/>
          <w:lang w:bidi="bg-BG"/>
        </w:rPr>
        <w:t>ите</w:t>
      </w:r>
      <w:r w:rsidRPr="00ED7F28">
        <w:rPr>
          <w:rFonts w:ascii="Times New Roman" w:hAnsi="Times New Roman"/>
          <w:b/>
          <w:sz w:val="24"/>
          <w:szCs w:val="24"/>
          <w:lang w:bidi="bg-BG"/>
        </w:rPr>
        <w:t xml:space="preserve"> </w:t>
      </w:r>
      <w:r w:rsidR="007E6ABC" w:rsidRPr="00ED7F28">
        <w:rPr>
          <w:rFonts w:ascii="Times New Roman" w:hAnsi="Times New Roman"/>
          <w:b/>
          <w:sz w:val="24"/>
          <w:szCs w:val="24"/>
          <w:lang w:bidi="bg-BG"/>
        </w:rPr>
        <w:t>по</w:t>
      </w:r>
      <w:r w:rsidRPr="00ED7F28">
        <w:rPr>
          <w:rFonts w:ascii="Times New Roman" w:hAnsi="Times New Roman"/>
          <w:b/>
          <w:sz w:val="24"/>
          <w:szCs w:val="24"/>
          <w:lang w:bidi="bg-BG"/>
        </w:rPr>
        <w:t xml:space="preserve"> ОРГО след подаване на Приложение 1а ЗАЯВЛЕНИЕ ЗА </w:t>
      </w:r>
      <w:r w:rsidRPr="00ED7F28">
        <w:rPr>
          <w:rFonts w:ascii="Times New Roman" w:hAnsi="Times New Roman"/>
          <w:b/>
          <w:sz w:val="24"/>
          <w:szCs w:val="24"/>
          <w:lang w:bidi="bg-BG"/>
        </w:rPr>
        <w:lastRenderedPageBreak/>
        <w:t>ПОМОЩ_ Предварителни дейности, което е писмено заявление за помощ във връзка с Член 6 Стимулиращ ефект на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p w:rsidR="008D4A9C" w:rsidRPr="00ED7F28" w:rsidRDefault="008D4A9C">
      <w:pPr>
        <w:spacing w:before="120" w:after="120"/>
        <w:jc w:val="both"/>
        <w:rPr>
          <w:rFonts w:ascii="Times New Roman" w:hAnsi="Times New Roman"/>
          <w:b/>
          <w:sz w:val="24"/>
          <w:szCs w:val="24"/>
          <w:lang w:bidi="bg-BG"/>
        </w:rPr>
      </w:pPr>
    </w:p>
    <w:p w:rsidR="007E6ABC" w:rsidRPr="00ED7F28" w:rsidRDefault="00030033" w:rsidP="007E6ABC">
      <w:pPr>
        <w:pStyle w:val="ListParagraph"/>
        <w:numPr>
          <w:ilvl w:val="0"/>
          <w:numId w:val="7"/>
        </w:numPr>
        <w:rPr>
          <w:rStyle w:val="CommentReference"/>
          <w:rFonts w:ascii="Times New Roman" w:eastAsiaTheme="majorEastAsia" w:hAnsi="Times New Roman" w:cstheme="majorBidi"/>
          <w:b/>
          <w:bCs/>
          <w:sz w:val="24"/>
          <w:szCs w:val="24"/>
        </w:rPr>
      </w:pPr>
      <w:r w:rsidRPr="00ED7F28">
        <w:rPr>
          <w:rStyle w:val="CommentReference"/>
          <w:rFonts w:ascii="Times New Roman" w:eastAsiaTheme="majorEastAsia" w:hAnsi="Times New Roman" w:cstheme="majorBidi"/>
          <w:b/>
          <w:bCs/>
          <w:sz w:val="24"/>
          <w:szCs w:val="24"/>
        </w:rPr>
        <w:t>Натрупване</w:t>
      </w:r>
      <w:r w:rsidR="007E6ABC" w:rsidRPr="00ED7F28">
        <w:rPr>
          <w:rStyle w:val="CommentReference"/>
          <w:rFonts w:ascii="Times New Roman" w:eastAsiaTheme="majorEastAsia" w:hAnsi="Times New Roman" w:cstheme="majorBidi"/>
          <w:b/>
          <w:bCs/>
          <w:sz w:val="24"/>
          <w:szCs w:val="24"/>
        </w:rPr>
        <w:t xml:space="preserve"> приложим за всички режими съгласно Регламент (ЕС) № 651/2014.</w:t>
      </w:r>
    </w:p>
    <w:p w:rsidR="008D4A9C" w:rsidRPr="00ED7F28" w:rsidRDefault="008D4A9C" w:rsidP="007E6ABC">
      <w:pPr>
        <w:pStyle w:val="Heading1"/>
        <w:spacing w:before="120" w:after="120"/>
        <w:ind w:left="1080"/>
        <w:jc w:val="both"/>
        <w:rPr>
          <w:rStyle w:val="CommentReference"/>
          <w:rFonts w:ascii="Times New Roman" w:hAnsi="Times New Roman"/>
          <w:color w:val="auto"/>
          <w:sz w:val="24"/>
          <w:szCs w:val="24"/>
          <w:lang w:val="bg-BG"/>
        </w:rPr>
      </w:pPr>
    </w:p>
    <w:p w:rsidR="008D4A9C" w:rsidRPr="00ED7F28" w:rsidRDefault="00030033">
      <w:pPr>
        <w:spacing w:before="120" w:after="120"/>
        <w:jc w:val="both"/>
        <w:rPr>
          <w:rStyle w:val="CommentReference"/>
          <w:rFonts w:ascii="Times New Roman" w:hAnsi="Times New Roman"/>
          <w:sz w:val="24"/>
          <w:szCs w:val="24"/>
          <w:u w:val="single"/>
        </w:rPr>
      </w:pPr>
      <w:r w:rsidRPr="00ED7F28">
        <w:rPr>
          <w:rStyle w:val="CommentReference"/>
          <w:rFonts w:ascii="Times New Roman" w:hAnsi="Times New Roman"/>
          <w:sz w:val="24"/>
          <w:szCs w:val="24"/>
        </w:rPr>
        <w:t xml:space="preserve">За да се установи, дали са спазени изискванията за максимален размер и интензитет на помощта в съответствие с чл. 4 и чл. 31 на </w:t>
      </w:r>
      <w:r w:rsidRPr="00ED7F28">
        <w:rPr>
          <w:rFonts w:ascii="Times New Roman" w:hAnsi="Times New Roman"/>
          <w:b/>
          <w:sz w:val="24"/>
          <w:szCs w:val="24"/>
        </w:rPr>
        <w:t>Регламент (ЕС) № 651/2014</w:t>
      </w:r>
      <w:r w:rsidRPr="00ED7F28">
        <w:rPr>
          <w:rStyle w:val="CommentReference"/>
          <w:rFonts w:ascii="Times New Roman" w:hAnsi="Times New Roman"/>
          <w:sz w:val="24"/>
          <w:szCs w:val="24"/>
        </w:rPr>
        <w:t>, се взема предвид общият размер на държавната помощ за финансираната дейност/проект по процедурата на конкретния бенефициент/партньора, като се прилага Декларация 3.1.</w:t>
      </w:r>
    </w:p>
    <w:p w:rsidR="008D4A9C" w:rsidRPr="00ED7F28" w:rsidRDefault="00030033">
      <w:pPr>
        <w:spacing w:before="120" w:after="120"/>
        <w:jc w:val="both"/>
        <w:rPr>
          <w:rFonts w:ascii="Times New Roman" w:hAnsi="Times New Roman"/>
          <w:b/>
          <w:sz w:val="24"/>
          <w:szCs w:val="24"/>
          <w:u w:val="single"/>
        </w:rPr>
      </w:pPr>
      <w:r w:rsidRPr="00ED7F28">
        <w:rPr>
          <w:rFonts w:ascii="Times New Roman" w:hAnsi="Times New Roman"/>
          <w:sz w:val="24"/>
          <w:szCs w:val="24"/>
          <w:u w:val="single"/>
        </w:rPr>
        <w:t>Данните за получени държавни/минимални помощи следва да бъдат надлежно посочени от кандидатите/партньорите (когато има предвиден партньор по проекта) в Декларацията за получени държавни/минимални помощи (Приложение 3.1.).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и да изпрати нова Декларация за получени държавни/минимални помощи (Приложение 3.1.), по отношение на него и/или на партньора (ако е приложимо), с попълнени актуални данни в</w:t>
      </w:r>
      <w:r w:rsidRPr="00ED7F28">
        <w:rPr>
          <w:rFonts w:eastAsia="Calibri"/>
          <w:sz w:val="24"/>
        </w:rPr>
        <w:t xml:space="preserve"> </w:t>
      </w:r>
      <w:r w:rsidRPr="00ED7F28">
        <w:rPr>
          <w:rFonts w:ascii="Times New Roman" w:hAnsi="Times New Roman"/>
          <w:sz w:val="24"/>
          <w:szCs w:val="24"/>
          <w:u w:val="single"/>
        </w:rPr>
        <w:t>нея, в срок от 5 (пет) работни дни чрез модул „Комуникация с УО“ в Информационната система за управление и наблюдение на средствата от ЕФСУ, наричана по нататък ИСУН, раздел „Европейски фондове при споделено управление (2021-2027)“. При определяне дали е спазен максимално допустимият размер и съответно интензитет на помощта</w:t>
      </w:r>
      <w:r w:rsidRPr="00ED7F28">
        <w:rPr>
          <w:rFonts w:ascii="Times New Roman" w:hAnsi="Times New Roman"/>
          <w:b/>
          <w:sz w:val="24"/>
          <w:szCs w:val="24"/>
          <w:u w:val="single"/>
        </w:rPr>
        <w:t>,</w:t>
      </w:r>
      <w:r w:rsidRPr="00ED7F28">
        <w:rPr>
          <w:rFonts w:ascii="Times New Roman" w:hAnsi="Times New Roman"/>
          <w:sz w:val="24"/>
          <w:szCs w:val="24"/>
          <w:u w:val="single"/>
        </w:rPr>
        <w:t xml:space="preserve"> съгласно т. 9 и т. 10 от Условия за кандидатстване, ще се вземат предвид </w:t>
      </w:r>
      <w:r w:rsidRPr="00ED7F28">
        <w:rPr>
          <w:rFonts w:ascii="Times New Roman" w:hAnsi="Times New Roman"/>
          <w:bCs/>
          <w:sz w:val="24"/>
          <w:szCs w:val="24"/>
          <w:u w:val="single"/>
        </w:rPr>
        <w:t>както размера на държавната/минималната помощ, за която се кандидатства, така и</w:t>
      </w:r>
      <w:r w:rsidRPr="00ED7F28">
        <w:rPr>
          <w:rFonts w:ascii="Times New Roman" w:hAnsi="Times New Roman"/>
          <w:sz w:val="24"/>
          <w:szCs w:val="24"/>
          <w:u w:val="single"/>
        </w:rPr>
        <w:t xml:space="preserve"> общият размер на вече получена държавна/минимална помощ за дейности/проект (</w:t>
      </w:r>
      <w:r w:rsidRPr="00ED7F28">
        <w:rPr>
          <w:rFonts w:ascii="Times New Roman" w:hAnsi="Times New Roman"/>
          <w:bCs/>
          <w:sz w:val="24"/>
          <w:szCs w:val="24"/>
          <w:u w:val="single"/>
        </w:rPr>
        <w:t>извън тези, за които се кандидатства</w:t>
      </w:r>
      <w:r w:rsidRPr="00ED7F28">
        <w:rPr>
          <w:rFonts w:ascii="Times New Roman" w:hAnsi="Times New Roman"/>
          <w:sz w:val="24"/>
          <w:szCs w:val="24"/>
          <w:u w:val="single"/>
        </w:rPr>
        <w:t xml:space="preserve">), независимо от това дали тази подкрепа е финансирана от местни, регионални, национални или общностни източници. </w:t>
      </w:r>
    </w:p>
    <w:p w:rsidR="008D4A9C" w:rsidRPr="00ED7F28" w:rsidRDefault="008D4A9C">
      <w:pPr>
        <w:spacing w:before="120" w:after="120"/>
        <w:jc w:val="both"/>
        <w:rPr>
          <w:rFonts w:ascii="Times New Roman" w:hAnsi="Times New Roman"/>
          <w:sz w:val="24"/>
          <w:szCs w:val="24"/>
          <w:u w:val="single"/>
        </w:rPr>
      </w:pPr>
    </w:p>
    <w:p w:rsidR="008D4A9C" w:rsidRPr="00ED7F28" w:rsidRDefault="008D4A9C">
      <w:pPr>
        <w:spacing w:before="120" w:after="120"/>
        <w:jc w:val="both"/>
        <w:rPr>
          <w:rStyle w:val="CommentReference"/>
          <w:rFonts w:ascii="Times New Roman" w:hAnsi="Times New Roman"/>
          <w:sz w:val="24"/>
          <w:szCs w:val="24"/>
        </w:rPr>
      </w:pPr>
    </w:p>
    <w:p w:rsidR="008D4A9C" w:rsidRPr="00ED7F28" w:rsidRDefault="00030033">
      <w:pPr>
        <w:spacing w:before="120" w:after="120"/>
        <w:jc w:val="both"/>
        <w:rPr>
          <w:rStyle w:val="CommentReference"/>
          <w:rFonts w:ascii="Times New Roman" w:hAnsi="Times New Roman"/>
          <w:sz w:val="24"/>
          <w:szCs w:val="24"/>
        </w:rPr>
      </w:pPr>
      <w:r w:rsidRPr="00ED7F28">
        <w:rPr>
          <w:rStyle w:val="CommentReference"/>
          <w:rFonts w:ascii="Times New Roman" w:hAnsi="Times New Roman"/>
          <w:sz w:val="24"/>
          <w:szCs w:val="24"/>
        </w:rPr>
        <w:t xml:space="preserve">Помощите с </w:t>
      </w:r>
      <w:proofErr w:type="spellStart"/>
      <w:r w:rsidRPr="00ED7F28">
        <w:rPr>
          <w:rStyle w:val="CommentReference"/>
          <w:rFonts w:ascii="Times New Roman" w:hAnsi="Times New Roman"/>
          <w:sz w:val="24"/>
          <w:szCs w:val="24"/>
        </w:rPr>
        <w:t>установими</w:t>
      </w:r>
      <w:proofErr w:type="spellEnd"/>
      <w:r w:rsidRPr="00ED7F28">
        <w:rPr>
          <w:rStyle w:val="CommentReference"/>
          <w:rFonts w:ascii="Times New Roman" w:hAnsi="Times New Roman"/>
          <w:sz w:val="24"/>
          <w:szCs w:val="24"/>
        </w:rPr>
        <w:t xml:space="preserve"> допустими разходи, които са освободени от задължението за уведомяване по смисъла на </w:t>
      </w:r>
      <w:r w:rsidRPr="00ED7F28">
        <w:rPr>
          <w:rFonts w:ascii="Times New Roman" w:hAnsi="Times New Roman"/>
          <w:b/>
          <w:sz w:val="24"/>
          <w:szCs w:val="24"/>
        </w:rPr>
        <w:t>Регламент (ЕС) № 651/2014</w:t>
      </w:r>
      <w:r w:rsidRPr="00ED7F28">
        <w:rPr>
          <w:rStyle w:val="CommentReference"/>
          <w:rFonts w:ascii="Times New Roman" w:hAnsi="Times New Roman"/>
          <w:sz w:val="24"/>
          <w:szCs w:val="24"/>
        </w:rPr>
        <w:t>, могат да се натрупват със:</w:t>
      </w:r>
    </w:p>
    <w:p w:rsidR="008D4A9C" w:rsidRPr="00ED7F28" w:rsidRDefault="00030033">
      <w:pPr>
        <w:spacing w:before="120" w:after="120"/>
        <w:jc w:val="both"/>
        <w:rPr>
          <w:rStyle w:val="CommentReference"/>
          <w:rFonts w:ascii="Times New Roman" w:hAnsi="Times New Roman"/>
          <w:sz w:val="24"/>
          <w:szCs w:val="24"/>
        </w:rPr>
      </w:pPr>
      <w:r w:rsidRPr="00ED7F28">
        <w:rPr>
          <w:rStyle w:val="CommentReference"/>
          <w:rFonts w:ascii="Times New Roman" w:hAnsi="Times New Roman"/>
          <w:sz w:val="24"/>
          <w:szCs w:val="24"/>
        </w:rPr>
        <w:t xml:space="preserve">а) всякаква друга държавна помощ, доколкото тези мерки засягат различни </w:t>
      </w:r>
      <w:proofErr w:type="spellStart"/>
      <w:r w:rsidRPr="00ED7F28">
        <w:rPr>
          <w:rStyle w:val="CommentReference"/>
          <w:rFonts w:ascii="Times New Roman" w:hAnsi="Times New Roman"/>
          <w:sz w:val="24"/>
          <w:szCs w:val="24"/>
        </w:rPr>
        <w:t>установими</w:t>
      </w:r>
      <w:proofErr w:type="spellEnd"/>
      <w:r w:rsidRPr="00ED7F28">
        <w:rPr>
          <w:rStyle w:val="CommentReference"/>
          <w:rFonts w:ascii="Times New Roman" w:hAnsi="Times New Roman"/>
          <w:sz w:val="24"/>
          <w:szCs w:val="24"/>
        </w:rPr>
        <w:t xml:space="preserve"> допустими разходи;</w:t>
      </w:r>
    </w:p>
    <w:p w:rsidR="008D4A9C" w:rsidRPr="00ED7F28" w:rsidRDefault="00030033">
      <w:pPr>
        <w:spacing w:before="120" w:after="120"/>
        <w:jc w:val="both"/>
        <w:rPr>
          <w:rStyle w:val="CommentReference"/>
          <w:rFonts w:ascii="Times New Roman" w:hAnsi="Times New Roman"/>
          <w:sz w:val="24"/>
          <w:szCs w:val="24"/>
        </w:rPr>
      </w:pPr>
      <w:r w:rsidRPr="00ED7F28">
        <w:rPr>
          <w:rStyle w:val="CommentReference"/>
          <w:rFonts w:ascii="Times New Roman" w:hAnsi="Times New Roman"/>
          <w:sz w:val="24"/>
          <w:szCs w:val="24"/>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Регламент (ЕС) № 651/2014.</w:t>
      </w:r>
    </w:p>
    <w:p w:rsidR="008D4A9C" w:rsidRPr="00ED7F28" w:rsidRDefault="00030033">
      <w:pPr>
        <w:spacing w:before="120" w:after="120"/>
        <w:jc w:val="both"/>
        <w:rPr>
          <w:rStyle w:val="CommentReference"/>
          <w:sz w:val="24"/>
          <w:szCs w:val="24"/>
        </w:rPr>
      </w:pPr>
      <w:r w:rsidRPr="00ED7F28">
        <w:rPr>
          <w:rStyle w:val="CommentReference"/>
          <w:rFonts w:ascii="Times New Roman" w:hAnsi="Times New Roman"/>
          <w:sz w:val="24"/>
          <w:szCs w:val="24"/>
        </w:rPr>
        <w:lastRenderedPageBreak/>
        <w:t xml:space="preserve">Помощите по настоящата схема не могат да се натрупват с помощ de minimis по отношение на същите допустими разходи, ако това натрупване би довело до интензитет на помощта, надхвърлящ допустимия интензитет съгласно </w:t>
      </w:r>
      <w:r w:rsidR="007E6ABC" w:rsidRPr="00ED7F28">
        <w:rPr>
          <w:rStyle w:val="CommentReference"/>
          <w:rFonts w:ascii="Times New Roman" w:hAnsi="Times New Roman"/>
          <w:sz w:val="24"/>
          <w:szCs w:val="24"/>
        </w:rPr>
        <w:t>н</w:t>
      </w:r>
      <w:r w:rsidRPr="00ED7F28">
        <w:rPr>
          <w:rStyle w:val="CommentReference"/>
          <w:rFonts w:ascii="Times New Roman" w:hAnsi="Times New Roman"/>
          <w:sz w:val="24"/>
          <w:szCs w:val="24"/>
        </w:rPr>
        <w:t xml:space="preserve">асоките за </w:t>
      </w:r>
      <w:r w:rsidR="007E6ABC" w:rsidRPr="00ED7F28">
        <w:rPr>
          <w:rStyle w:val="CommentReference"/>
          <w:rFonts w:ascii="Times New Roman" w:hAnsi="Times New Roman"/>
          <w:sz w:val="24"/>
          <w:szCs w:val="24"/>
        </w:rPr>
        <w:t>кандидатстване</w:t>
      </w:r>
      <w:r w:rsidRPr="00ED7F28">
        <w:rPr>
          <w:rStyle w:val="CommentReference"/>
          <w:rFonts w:ascii="Times New Roman" w:hAnsi="Times New Roman"/>
          <w:sz w:val="24"/>
          <w:szCs w:val="24"/>
        </w:rPr>
        <w:t>.</w:t>
      </w:r>
    </w:p>
    <w:p w:rsidR="008D4A9C" w:rsidRPr="00ED7F28" w:rsidRDefault="008D4A9C">
      <w:pPr>
        <w:spacing w:before="120" w:after="120"/>
        <w:jc w:val="both"/>
        <w:rPr>
          <w:rStyle w:val="CommentReference"/>
          <w:rFonts w:ascii="Times New Roman" w:hAnsi="Times New Roman"/>
          <w:sz w:val="24"/>
          <w:szCs w:val="24"/>
        </w:rPr>
      </w:pPr>
    </w:p>
    <w:p w:rsidR="008D4A9C" w:rsidRPr="00ED7F28" w:rsidRDefault="00030033">
      <w:pPr>
        <w:spacing w:before="120" w:after="120"/>
        <w:jc w:val="both"/>
        <w:rPr>
          <w:rFonts w:ascii="Times New Roman" w:hAnsi="Times New Roman"/>
          <w:sz w:val="24"/>
          <w:szCs w:val="24"/>
        </w:rPr>
      </w:pPr>
      <w:r w:rsidRPr="00ED7F28">
        <w:rPr>
          <w:rFonts w:ascii="Times New Roman" w:hAnsi="Times New Roman"/>
          <w:sz w:val="24"/>
          <w:szCs w:val="24"/>
        </w:rPr>
        <w:t>Когато финансиране от Европейския съюз, управлявано централно от институциите, агенциите, съвместни предприятия или други органи на Европейския съюз, което не е пряко или косвено под контрола на Република България, в т.ч. нейните централни и териториални органи, е съчетано с държавна помощ, само тази държавна помощ се взема предвид с цел да се установи дали са спазени праговете за уведомяване и максималните интензитети на помощта или максималните размери на помощта, при условие че общият размер на публичното финансиране, предоставено във връзка със същите допустими разходи, не надхвърля най-благоприятния процент на финансиране, установен в приложимите правила на законодателството на Европейския съюз.</w:t>
      </w:r>
    </w:p>
    <w:p w:rsidR="008D4A9C" w:rsidRPr="00ED7F28" w:rsidRDefault="008D4A9C">
      <w:pPr>
        <w:spacing w:before="120" w:after="120"/>
        <w:jc w:val="both"/>
        <w:rPr>
          <w:rStyle w:val="CommentReference"/>
          <w:rFonts w:ascii="Times New Roman" w:hAnsi="Times New Roman"/>
          <w:sz w:val="24"/>
          <w:szCs w:val="24"/>
        </w:rPr>
      </w:pPr>
    </w:p>
    <w:p w:rsidR="008D4A9C" w:rsidRPr="00ED7F28" w:rsidRDefault="00030033">
      <w:pPr>
        <w:pBdr>
          <w:top w:val="single" w:sz="4" w:space="1" w:color="000000"/>
          <w:left w:val="single" w:sz="4" w:space="4" w:color="000000"/>
          <w:bottom w:val="single" w:sz="4" w:space="1" w:color="000000"/>
          <w:right w:val="single" w:sz="4" w:space="4" w:color="000000"/>
        </w:pBdr>
        <w:jc w:val="both"/>
        <w:rPr>
          <w:rFonts w:ascii="Times New Roman" w:hAnsi="Times New Roman"/>
          <w:sz w:val="24"/>
          <w:szCs w:val="24"/>
        </w:rPr>
      </w:pPr>
      <w:r w:rsidRPr="00ED7F28">
        <w:rPr>
          <w:rFonts w:ascii="Times New Roman" w:hAnsi="Times New Roman"/>
          <w:sz w:val="24"/>
          <w:szCs w:val="24"/>
        </w:rPr>
        <w:t>ВАЖНО!</w:t>
      </w:r>
    </w:p>
    <w:p w:rsidR="008D4A9C" w:rsidRPr="00ED7F28" w:rsidRDefault="00030033">
      <w:pPr>
        <w:pBdr>
          <w:top w:val="single" w:sz="4" w:space="1" w:color="000000"/>
          <w:left w:val="single" w:sz="4" w:space="4" w:color="000000"/>
          <w:bottom w:val="single" w:sz="4" w:space="1" w:color="000000"/>
          <w:right w:val="single" w:sz="4" w:space="4" w:color="000000"/>
        </w:pBdr>
        <w:jc w:val="both"/>
        <w:rPr>
          <w:rFonts w:ascii="Times New Roman" w:hAnsi="Times New Roman"/>
          <w:sz w:val="24"/>
          <w:szCs w:val="24"/>
        </w:rPr>
      </w:pPr>
      <w:r w:rsidRPr="00ED7F28">
        <w:rPr>
          <w:rFonts w:ascii="Times New Roman" w:hAnsi="Times New Roman"/>
          <w:sz w:val="24"/>
          <w:szCs w:val="24"/>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8D4A9C" w:rsidRPr="00ED7F28" w:rsidRDefault="00030033">
      <w:pPr>
        <w:pBdr>
          <w:top w:val="single" w:sz="4" w:space="1" w:color="000000"/>
          <w:left w:val="single" w:sz="4" w:space="4" w:color="000000"/>
          <w:bottom w:val="single" w:sz="4" w:space="1" w:color="000000"/>
          <w:right w:val="single" w:sz="4" w:space="4" w:color="000000"/>
        </w:pBdr>
        <w:jc w:val="both"/>
        <w:rPr>
          <w:rFonts w:ascii="Times New Roman" w:hAnsi="Times New Roman"/>
          <w:sz w:val="24"/>
          <w:szCs w:val="24"/>
        </w:rPr>
      </w:pPr>
      <w:r w:rsidRPr="00ED7F28">
        <w:rPr>
          <w:rFonts w:ascii="Times New Roman" w:hAnsi="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rsidR="008D4A9C" w:rsidRPr="00ED7F28" w:rsidRDefault="008D4A9C">
      <w:pPr>
        <w:spacing w:before="120" w:after="120"/>
        <w:jc w:val="both"/>
        <w:rPr>
          <w:rStyle w:val="CommentReference"/>
          <w:rFonts w:ascii="Times New Roman" w:hAnsi="Times New Roman"/>
          <w:sz w:val="24"/>
          <w:szCs w:val="24"/>
        </w:rPr>
      </w:pPr>
    </w:p>
    <w:p w:rsidR="008D4A9C" w:rsidRPr="00ED7F28" w:rsidRDefault="00030033" w:rsidP="007E6ABC">
      <w:pPr>
        <w:pStyle w:val="ListParagraph"/>
        <w:numPr>
          <w:ilvl w:val="0"/>
          <w:numId w:val="7"/>
        </w:numPr>
        <w:rPr>
          <w:rStyle w:val="CommentReference"/>
          <w:rFonts w:ascii="Times New Roman" w:hAnsi="Times New Roman"/>
          <w:b/>
          <w:sz w:val="24"/>
          <w:szCs w:val="24"/>
        </w:rPr>
      </w:pPr>
      <w:r w:rsidRPr="00ED7F28">
        <w:rPr>
          <w:rStyle w:val="CommentReference"/>
          <w:rFonts w:ascii="Times New Roman" w:hAnsi="Times New Roman"/>
          <w:b/>
          <w:sz w:val="24"/>
          <w:szCs w:val="24"/>
        </w:rPr>
        <w:t>Други изисквания и условия</w:t>
      </w:r>
    </w:p>
    <w:p w:rsidR="008D4A9C" w:rsidRPr="00ED7F28" w:rsidRDefault="008D4A9C"/>
    <w:p w:rsidR="008D4A9C" w:rsidRPr="00ED7F28" w:rsidRDefault="00030033">
      <w:pPr>
        <w:spacing w:before="120" w:after="120"/>
        <w:ind w:firstLine="708"/>
        <w:jc w:val="both"/>
        <w:rPr>
          <w:rFonts w:ascii="Times New Roman" w:hAnsi="Times New Roman"/>
          <w:sz w:val="24"/>
          <w:szCs w:val="24"/>
          <w:lang w:eastAsia="bg-BG"/>
        </w:rPr>
      </w:pPr>
      <w:r w:rsidRPr="00ED7F28">
        <w:rPr>
          <w:rFonts w:ascii="Times New Roman" w:hAnsi="Times New Roman"/>
          <w:sz w:val="24"/>
          <w:szCs w:val="24"/>
          <w:lang w:eastAsia="bg-BG"/>
        </w:rPr>
        <w:t>В изпълнение на членове 9-12 от Регламент № 651 и ЗДП и ППЗДП се представя, публикува, съхранява и докладва информация по мярката, както и се предоставя при поискване, както следва:</w:t>
      </w:r>
    </w:p>
    <w:p w:rsidR="008D4A9C" w:rsidRPr="00ED7F28" w:rsidRDefault="00030033">
      <w:pPr>
        <w:numPr>
          <w:ilvl w:val="0"/>
          <w:numId w:val="3"/>
        </w:numPr>
        <w:spacing w:before="120" w:after="120" w:line="240" w:lineRule="auto"/>
        <w:ind w:left="851"/>
        <w:jc w:val="both"/>
        <w:rPr>
          <w:rFonts w:ascii="Times New Roman" w:hAnsi="Times New Roman"/>
          <w:b/>
          <w:i/>
          <w:sz w:val="24"/>
          <w:szCs w:val="24"/>
          <w:lang w:eastAsia="bg-BG"/>
        </w:rPr>
      </w:pPr>
      <w:r w:rsidRPr="00ED7F28">
        <w:rPr>
          <w:rFonts w:ascii="Times New Roman" w:hAnsi="Times New Roman"/>
          <w:sz w:val="24"/>
          <w:szCs w:val="24"/>
          <w:lang w:eastAsia="bg-BG"/>
        </w:rPr>
        <w:t>За целите на прозрачността в рамките на 6м. след предоставянето на помощта, същата следва да бъде въведена в Модула за прозрачност на Европейската комисия;</w:t>
      </w:r>
    </w:p>
    <w:p w:rsidR="008D4A9C" w:rsidRPr="00ED7F28" w:rsidRDefault="00030033">
      <w:pPr>
        <w:spacing w:before="120" w:after="120"/>
        <w:ind w:left="851"/>
        <w:jc w:val="both"/>
        <w:rPr>
          <w:rFonts w:ascii="Times New Roman" w:hAnsi="Times New Roman"/>
          <w:b/>
          <w:i/>
          <w:sz w:val="24"/>
          <w:szCs w:val="24"/>
          <w:lang w:eastAsia="bg-BG"/>
        </w:rPr>
      </w:pPr>
      <w:r w:rsidRPr="00ED7F28">
        <w:rPr>
          <w:rFonts w:ascii="Times New Roman" w:hAnsi="Times New Roman"/>
          <w:b/>
          <w:i/>
          <w:sz w:val="24"/>
          <w:szCs w:val="24"/>
          <w:lang w:eastAsia="bg-BG"/>
        </w:rPr>
        <w:t xml:space="preserve">В изпълнение на изискванията на чл. 11 от Регламент (ЕС) № 651/2014, а именно информацията, посочена в приложение III на Регламента да бъде въвеждана в </w:t>
      </w:r>
      <w:r w:rsidRPr="00ED7F28">
        <w:rPr>
          <w:rFonts w:ascii="Times New Roman" w:hAnsi="Times New Roman"/>
          <w:b/>
          <w:i/>
          <w:sz w:val="24"/>
          <w:szCs w:val="24"/>
          <w:lang w:eastAsia="bg-BG"/>
        </w:rPr>
        <w:lastRenderedPageBreak/>
        <w:t>модула за прозрачност на ЕК за всяка предоставена индивидуална помощ по процедурата, надхвърляща 100 000 евро. В тази връзка в случаите, в които общата стойност на отпуснатата помощ надхвърля 100 000 евро, УО на ПРР ще въвежда информацията в модула за прозрачност на ЕК (https://webgate.ec.europa.eu/competition/transparency/public/search/home/)</w:t>
      </w:r>
    </w:p>
    <w:p w:rsidR="008D4A9C" w:rsidRPr="00ED7F28" w:rsidRDefault="00030033">
      <w:pPr>
        <w:numPr>
          <w:ilvl w:val="0"/>
          <w:numId w:val="3"/>
        </w:numPr>
        <w:spacing w:before="120" w:after="120" w:line="240" w:lineRule="auto"/>
        <w:ind w:left="851"/>
        <w:jc w:val="both"/>
        <w:rPr>
          <w:rFonts w:ascii="Times New Roman" w:hAnsi="Times New Roman"/>
          <w:b/>
          <w:i/>
          <w:sz w:val="24"/>
          <w:szCs w:val="24"/>
          <w:lang w:eastAsia="bg-BG"/>
        </w:rPr>
      </w:pPr>
      <w:r w:rsidRPr="00ED7F28">
        <w:rPr>
          <w:rFonts w:ascii="Times New Roman" w:hAnsi="Times New Roman"/>
          <w:sz w:val="24"/>
          <w:szCs w:val="24"/>
          <w:lang w:eastAsia="bg-BG"/>
        </w:rPr>
        <w:t>За информиране на ЕК, чрез Системата за електронно уведомяване – SANI2 се въвежда стандартизирана информация по приложение II от Регламента;</w:t>
      </w:r>
    </w:p>
    <w:p w:rsidR="008D4A9C" w:rsidRPr="00ED7F28" w:rsidRDefault="00030033">
      <w:pPr>
        <w:numPr>
          <w:ilvl w:val="0"/>
          <w:numId w:val="3"/>
        </w:numPr>
        <w:spacing w:before="120" w:after="120" w:line="240" w:lineRule="auto"/>
        <w:ind w:left="851"/>
        <w:jc w:val="both"/>
        <w:rPr>
          <w:rFonts w:ascii="Times New Roman" w:hAnsi="Times New Roman"/>
          <w:b/>
          <w:i/>
          <w:sz w:val="24"/>
          <w:szCs w:val="24"/>
          <w:lang w:eastAsia="bg-BG"/>
        </w:rPr>
      </w:pPr>
      <w:r w:rsidRPr="00ED7F28">
        <w:rPr>
          <w:rFonts w:ascii="Times New Roman" w:hAnsi="Times New Roman"/>
          <w:sz w:val="24"/>
          <w:szCs w:val="24"/>
          <w:lang w:eastAsia="bg-BG"/>
        </w:rPr>
        <w:t>За целите на докладването, се представя Годишен доклад пред министъра на финансите;</w:t>
      </w:r>
    </w:p>
    <w:p w:rsidR="008D4A9C" w:rsidRPr="00ED7F28" w:rsidRDefault="00030033">
      <w:pPr>
        <w:numPr>
          <w:ilvl w:val="0"/>
          <w:numId w:val="3"/>
        </w:numPr>
        <w:spacing w:before="120" w:after="120" w:line="240" w:lineRule="auto"/>
        <w:ind w:left="851"/>
        <w:jc w:val="both"/>
        <w:rPr>
          <w:rFonts w:ascii="Times New Roman" w:hAnsi="Times New Roman"/>
          <w:b/>
          <w:i/>
          <w:sz w:val="24"/>
          <w:szCs w:val="24"/>
          <w:lang w:eastAsia="bg-BG"/>
        </w:rPr>
      </w:pPr>
      <w:r w:rsidRPr="00ED7F28">
        <w:rPr>
          <w:rFonts w:ascii="Times New Roman" w:hAnsi="Times New Roman"/>
          <w:sz w:val="24"/>
          <w:szCs w:val="24"/>
          <w:lang w:eastAsia="bg-BG"/>
        </w:rPr>
        <w:t>За целите на наблюдението и при актуализация условията на Регламент (ЕС) № 651/2014, мярката се превежда в съответствие съгласно поставените от Комисията или министъра на финансите срокове;</w:t>
      </w:r>
    </w:p>
    <w:p w:rsidR="008D4A9C" w:rsidRPr="00ED7F28" w:rsidRDefault="00030033">
      <w:pPr>
        <w:numPr>
          <w:ilvl w:val="0"/>
          <w:numId w:val="3"/>
        </w:numPr>
        <w:spacing w:before="120" w:after="120" w:line="240" w:lineRule="auto"/>
        <w:ind w:left="851"/>
        <w:jc w:val="both"/>
        <w:rPr>
          <w:rFonts w:ascii="Times New Roman" w:hAnsi="Times New Roman"/>
          <w:b/>
          <w:i/>
          <w:sz w:val="24"/>
          <w:szCs w:val="24"/>
          <w:lang w:eastAsia="bg-BG"/>
        </w:rPr>
      </w:pPr>
      <w:r w:rsidRPr="00ED7F28">
        <w:rPr>
          <w:rFonts w:ascii="Times New Roman" w:hAnsi="Times New Roman"/>
          <w:sz w:val="24"/>
          <w:szCs w:val="24"/>
          <w:lang w:eastAsia="bg-BG"/>
        </w:rPr>
        <w:t>За целите на последващия контрол от страна на ЕК и националните контролни органи се пази подробна документация за период от 10 години относно предоставянето на помощта и спазването на условията на регламента.</w:t>
      </w:r>
    </w:p>
    <w:p w:rsidR="008D4A9C" w:rsidRPr="00ED7F28" w:rsidRDefault="008D4A9C"/>
    <w:p w:rsidR="008D4A9C" w:rsidRPr="00ED7F28" w:rsidRDefault="008D4A9C">
      <w:pPr>
        <w:spacing w:before="120" w:after="120"/>
        <w:jc w:val="both"/>
        <w:rPr>
          <w:rStyle w:val="CommentReference"/>
          <w:rFonts w:ascii="Times New Roman" w:hAnsi="Times New Roman"/>
          <w:sz w:val="24"/>
          <w:szCs w:val="24"/>
        </w:rPr>
      </w:pPr>
    </w:p>
    <w:p w:rsidR="008D4A9C" w:rsidRPr="00ED7F28" w:rsidRDefault="00030033">
      <w:pPr>
        <w:spacing w:before="120" w:after="120"/>
        <w:jc w:val="both"/>
        <w:rPr>
          <w:rStyle w:val="CommentReference"/>
          <w:rFonts w:ascii="Times New Roman" w:hAnsi="Times New Roman"/>
          <w:sz w:val="24"/>
          <w:szCs w:val="24"/>
        </w:rPr>
      </w:pPr>
      <w:r w:rsidRPr="00ED7F28">
        <w:rPr>
          <w:rStyle w:val="CommentReference"/>
          <w:rFonts w:ascii="Times New Roman" w:hAnsi="Times New Roman"/>
          <w:sz w:val="24"/>
          <w:szCs w:val="24"/>
        </w:rPr>
        <w:t xml:space="preserve">Всеки договор за предоставяне на безвъзмездна финансова помощ по настоящата процедура с включена помощ </w:t>
      </w:r>
      <w:r w:rsidR="007E6ABC" w:rsidRPr="00ED7F28">
        <w:rPr>
          <w:rStyle w:val="CommentReference"/>
          <w:rFonts w:ascii="Times New Roman" w:hAnsi="Times New Roman"/>
          <w:sz w:val="24"/>
          <w:szCs w:val="24"/>
        </w:rPr>
        <w:t>съгласно</w:t>
      </w:r>
      <w:r w:rsidRPr="00ED7F28">
        <w:rPr>
          <w:rStyle w:val="CommentReference"/>
          <w:rFonts w:ascii="Times New Roman" w:hAnsi="Times New Roman"/>
          <w:sz w:val="24"/>
          <w:szCs w:val="24"/>
        </w:rPr>
        <w:t xml:space="preserve"> </w:t>
      </w:r>
      <w:r w:rsidRPr="00ED7F28">
        <w:rPr>
          <w:rFonts w:ascii="Times New Roman" w:hAnsi="Times New Roman"/>
          <w:sz w:val="24"/>
          <w:szCs w:val="24"/>
        </w:rPr>
        <w:t xml:space="preserve">Регламент (ЕС) № 651/2014, </w:t>
      </w:r>
      <w:r w:rsidRPr="00ED7F28">
        <w:rPr>
          <w:rStyle w:val="CommentReference"/>
          <w:rFonts w:ascii="Times New Roman" w:hAnsi="Times New Roman"/>
          <w:sz w:val="24"/>
          <w:szCs w:val="24"/>
        </w:rPr>
        <w:t xml:space="preserve"> представлява индивидуална помощ по смисъла на чл. 2, пар. 14, буква ii) от Регламент на Комисията (ЕС) № 651/2014.</w:t>
      </w:r>
    </w:p>
    <w:p w:rsidR="008D4A9C" w:rsidRPr="00ED7F28" w:rsidRDefault="00030033">
      <w:pPr>
        <w:spacing w:before="120" w:after="120"/>
        <w:jc w:val="both"/>
        <w:rPr>
          <w:rFonts w:ascii="Times New Roman" w:hAnsi="Times New Roman"/>
          <w:b/>
          <w:sz w:val="24"/>
          <w:szCs w:val="24"/>
        </w:rPr>
      </w:pPr>
      <w:r w:rsidRPr="00ED7F28">
        <w:rPr>
          <w:rFonts w:ascii="Times New Roman" w:hAnsi="Times New Roman"/>
          <w:b/>
          <w:sz w:val="24"/>
          <w:szCs w:val="24"/>
        </w:rPr>
        <w:t>Важно!</w:t>
      </w:r>
    </w:p>
    <w:p w:rsidR="008D4A9C" w:rsidRPr="00ED7F28" w:rsidRDefault="00030033">
      <w:pPr>
        <w:spacing w:before="120" w:after="120"/>
        <w:jc w:val="both"/>
        <w:rPr>
          <w:rFonts w:ascii="Times New Roman" w:hAnsi="Times New Roman"/>
          <w:b/>
          <w:sz w:val="24"/>
          <w:szCs w:val="24"/>
        </w:rPr>
      </w:pPr>
      <w:r w:rsidRPr="00ED7F28">
        <w:rPr>
          <w:rFonts w:ascii="Times New Roman" w:hAnsi="Times New Roman"/>
          <w:b/>
          <w:sz w:val="24"/>
          <w:szCs w:val="24"/>
        </w:rPr>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от датата на предоставяне на последната </w:t>
      </w:r>
      <w:r w:rsidRPr="00ED7F28">
        <w:rPr>
          <w:rFonts w:ascii="Times New Roman" w:hAnsi="Times New Roman"/>
          <w:b/>
          <w:bCs/>
          <w:iCs/>
          <w:sz w:val="24"/>
          <w:szCs w:val="24"/>
        </w:rPr>
        <w:t xml:space="preserve">индивидуална </w:t>
      </w:r>
      <w:r w:rsidRPr="00ED7F28">
        <w:rPr>
          <w:rFonts w:ascii="Times New Roman" w:hAnsi="Times New Roman"/>
          <w:b/>
          <w:sz w:val="24"/>
          <w:szCs w:val="24"/>
        </w:rPr>
        <w:t>помощ по схемата.</w:t>
      </w:r>
    </w:p>
    <w:p w:rsidR="008D4A9C" w:rsidRPr="00ED7F28" w:rsidRDefault="00030033">
      <w:pPr>
        <w:spacing w:before="120" w:after="120"/>
        <w:jc w:val="both"/>
        <w:rPr>
          <w:rFonts w:ascii="Times New Roman" w:hAnsi="Times New Roman"/>
          <w:b/>
          <w:bCs/>
          <w:iCs/>
          <w:sz w:val="24"/>
          <w:szCs w:val="24"/>
        </w:rPr>
      </w:pPr>
      <w:r w:rsidRPr="00ED7F28">
        <w:rPr>
          <w:rFonts w:ascii="Times New Roman" w:hAnsi="Times New Roman"/>
          <w:b/>
          <w:bCs/>
          <w:iCs/>
          <w:sz w:val="24"/>
          <w:szCs w:val="24"/>
        </w:rPr>
        <w:t>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посредством данни от официални източници, като НСИ, Търговск</w:t>
      </w:r>
      <w:bookmarkStart w:id="0" w:name="_GoBack"/>
      <w:bookmarkEnd w:id="0"/>
      <w:r w:rsidRPr="00ED7F28">
        <w:rPr>
          <w:rFonts w:ascii="Times New Roman" w:hAnsi="Times New Roman"/>
          <w:b/>
          <w:bCs/>
          <w:iCs/>
          <w:sz w:val="24"/>
          <w:szCs w:val="24"/>
        </w:rPr>
        <w:t xml:space="preserve">ия регистър, регистъра на юридическите лица с нестопанска цел и др. </w:t>
      </w:r>
    </w:p>
    <w:p w:rsidR="008D4A9C" w:rsidRPr="00ED7F28" w:rsidRDefault="008D4A9C">
      <w:pPr>
        <w:spacing w:before="120" w:after="120"/>
        <w:jc w:val="both"/>
        <w:rPr>
          <w:rStyle w:val="CommentReference"/>
          <w:rFonts w:ascii="Times New Roman" w:hAnsi="Times New Roman"/>
          <w:sz w:val="24"/>
          <w:szCs w:val="24"/>
        </w:rPr>
      </w:pPr>
    </w:p>
    <w:p w:rsidR="008D4A9C" w:rsidRPr="00ED7F28" w:rsidRDefault="008D4A9C">
      <w:pPr>
        <w:tabs>
          <w:tab w:val="left" w:pos="1080"/>
        </w:tabs>
        <w:rPr>
          <w:rFonts w:ascii="Times New Roman" w:hAnsi="Times New Roman" w:cs="Times New Roman"/>
          <w:sz w:val="24"/>
          <w:szCs w:val="24"/>
        </w:rPr>
      </w:pPr>
    </w:p>
    <w:sectPr w:rsidR="008D4A9C" w:rsidRPr="00ED7F28">
      <w:headerReference w:type="default" r:id="rId9"/>
      <w:footerReference w:type="default" r:id="rId10"/>
      <w:pgSz w:w="11906" w:h="16838"/>
      <w:pgMar w:top="1134"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3C4" w:rsidRDefault="007E63C4">
      <w:pPr>
        <w:spacing w:after="0" w:line="240" w:lineRule="auto"/>
      </w:pPr>
      <w:r>
        <w:separator/>
      </w:r>
    </w:p>
  </w:endnote>
  <w:endnote w:type="continuationSeparator" w:id="0">
    <w:p w:rsidR="007E63C4" w:rsidRDefault="007E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779887"/>
      <w:docPartObj>
        <w:docPartGallery w:val="Page Numbers (Bottom of Page)"/>
        <w:docPartUnique/>
      </w:docPartObj>
    </w:sdtPr>
    <w:sdtEndPr/>
    <w:sdtContent>
      <w:p w:rsidR="008D4A9C" w:rsidRDefault="00030033">
        <w:pPr>
          <w:pStyle w:val="Footer"/>
          <w:jc w:val="right"/>
        </w:pPr>
        <w:r>
          <w:fldChar w:fldCharType="begin"/>
        </w:r>
        <w:r>
          <w:instrText xml:space="preserve"> PAGE </w:instrText>
        </w:r>
        <w:r>
          <w:fldChar w:fldCharType="separate"/>
        </w:r>
        <w:r w:rsidR="00CD7A64">
          <w:rPr>
            <w:noProof/>
          </w:rPr>
          <w:t>19</w:t>
        </w:r>
        <w:r>
          <w:fldChar w:fldCharType="end"/>
        </w:r>
      </w:p>
    </w:sdtContent>
  </w:sdt>
  <w:p w:rsidR="008D4A9C" w:rsidRDefault="008D4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3C4" w:rsidRDefault="007E63C4">
      <w:pPr>
        <w:rPr>
          <w:sz w:val="12"/>
        </w:rPr>
      </w:pPr>
      <w:r>
        <w:separator/>
      </w:r>
    </w:p>
  </w:footnote>
  <w:footnote w:type="continuationSeparator" w:id="0">
    <w:p w:rsidR="007E63C4" w:rsidRDefault="007E63C4">
      <w:pPr>
        <w:rPr>
          <w:sz w:val="12"/>
        </w:rPr>
      </w:pPr>
      <w:r>
        <w:continuationSeparator/>
      </w:r>
    </w:p>
  </w:footnote>
  <w:footnote w:id="1">
    <w:p w:rsidR="008D4A9C" w:rsidRDefault="00030033">
      <w:pPr>
        <w:pStyle w:val="FootnoteText"/>
        <w:jc w:val="both"/>
        <w:rPr>
          <w:rFonts w:ascii="Times New Roman" w:hAnsi="Times New Roman"/>
        </w:rPr>
      </w:pPr>
      <w:r>
        <w:rPr>
          <w:rStyle w:val="FootnoteCharacters"/>
        </w:rPr>
        <w:footnoteRef/>
      </w:r>
      <w:r>
        <w:rPr>
          <w:rFonts w:ascii="Times New Roman" w:hAnsi="Times New Roman"/>
        </w:rPr>
        <w:t xml:space="preserve"> Съгласно чл. 14, пар. 13 от Регламент (ЕС) № 651/2014 на Комисията, всяка първоначална инвестиция, свързана със същата или подобна дейност, започната от един и същ бенефициент (на равнище група) в срок от три години, считано от започването на работите по друга подпомогната инвестиция в същия регион от ниво 3 по Общата класификация на териториалните единици за статистически цели (ниво NUTS-3 - </w:t>
      </w:r>
      <w:proofErr w:type="spellStart"/>
      <w:r>
        <w:rPr>
          <w:rFonts w:ascii="Times New Roman" w:hAnsi="Times New Roman"/>
        </w:rPr>
        <w:t>aдминистративна</w:t>
      </w:r>
      <w:proofErr w:type="spellEnd"/>
      <w:r>
        <w:rPr>
          <w:rFonts w:ascii="Times New Roman" w:hAnsi="Times New Roman"/>
        </w:rPr>
        <w:t xml:space="preserve"> единица: област), се смята за част от един и същ инвестиционен проект.</w:t>
      </w:r>
    </w:p>
  </w:footnote>
  <w:footnote w:id="2">
    <w:p w:rsidR="008D4A9C" w:rsidRDefault="00030033">
      <w:pPr>
        <w:pStyle w:val="FootnoteText"/>
        <w:jc w:val="both"/>
        <w:rPr>
          <w:rFonts w:ascii="Times New Roman" w:hAnsi="Times New Roman"/>
        </w:rPr>
      </w:pPr>
      <w:r>
        <w:rPr>
          <w:rStyle w:val="FootnoteCharacters"/>
        </w:rPr>
        <w:footnoteRef/>
      </w:r>
      <w:r w:rsidR="00BF580C" w:rsidRPr="00BF580C">
        <w:rPr>
          <w:rFonts w:ascii="Times New Roman" w:hAnsi="Times New Roman"/>
        </w:rPr>
        <w:t>Съгласно чл. 2</w:t>
      </w:r>
      <w:r w:rsidR="00BF580C" w:rsidRPr="00BF580C">
        <w:rPr>
          <w:rFonts w:ascii="Times New Roman" w:hAnsi="Times New Roman"/>
          <w:lang w:val="en-US"/>
        </w:rPr>
        <w:t>, пар. 9</w:t>
      </w:r>
      <w:r w:rsidR="00BF580C" w:rsidRPr="00BF580C">
        <w:rPr>
          <w:rFonts w:ascii="Times New Roman" w:hAnsi="Times New Roman"/>
        </w:rPr>
        <w:t xml:space="preserve"> от Регламент (ЕО) № 651/2014, това е производство на продукти на почвата и на животновъдството, изброени в Приложение № I към Договора за функционирането на Европейския съюз</w:t>
      </w:r>
      <w:r w:rsidR="00677B4C">
        <w:rPr>
          <w:rFonts w:ascii="Times New Roman" w:hAnsi="Times New Roman"/>
          <w:lang w:val="en-US"/>
        </w:rPr>
        <w:t xml:space="preserve">, </w:t>
      </w:r>
      <w:r w:rsidR="00677B4C">
        <w:rPr>
          <w:rFonts w:ascii="Times New Roman" w:hAnsi="Times New Roman"/>
        </w:rPr>
        <w:t xml:space="preserve">съгласно </w:t>
      </w:r>
      <w:r w:rsidR="00BF580C" w:rsidRPr="00BF580C">
        <w:rPr>
          <w:rFonts w:ascii="Times New Roman" w:hAnsi="Times New Roman"/>
          <w:b/>
          <w:i/>
        </w:rPr>
        <w:t>Приложение 3д</w:t>
      </w:r>
      <w:r w:rsidR="00BF580C" w:rsidRPr="00BF580C">
        <w:rPr>
          <w:rFonts w:ascii="Times New Roman" w:hAnsi="Times New Roman"/>
        </w:rPr>
        <w:t>, без да се извършват никакви по-нататъшни операции, с които се променя естеството на тези продукти.</w:t>
      </w:r>
    </w:p>
  </w:footnote>
  <w:footnote w:id="3">
    <w:p w:rsidR="008D4A9C" w:rsidRDefault="00030033">
      <w:pPr>
        <w:widowControl w:val="0"/>
        <w:spacing w:after="120" w:line="240" w:lineRule="auto"/>
        <w:jc w:val="both"/>
        <w:rPr>
          <w:rFonts w:ascii="Times New Roman" w:hAnsi="Times New Roman" w:cs="Times New Roman"/>
          <w:sz w:val="20"/>
          <w:szCs w:val="20"/>
        </w:rPr>
      </w:pPr>
      <w:r>
        <w:rPr>
          <w:rStyle w:val="FootnoteCharacters"/>
        </w:rPr>
        <w:footnoteRef/>
      </w:r>
      <w:r>
        <w:rPr>
          <w:rFonts w:ascii="Times New Roman" w:hAnsi="Times New Roman" w:cs="Times New Roman"/>
          <w:sz w:val="20"/>
          <w:szCs w:val="20"/>
        </w:rPr>
        <w:t>Съгласно чл. 2, пар. 61а от Регламент (ЕС) № 651/2014, „преместване“ означава прехвърлянето на същата или подобна дейност или част от нея от предприятие в една от договарящите страни по Споразумението за Европейското икономическо пространство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Европейското икономическо пространство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бенефициента в Европейското икономическо пространство.</w:t>
      </w:r>
    </w:p>
  </w:footnote>
  <w:footnote w:id="4">
    <w:p w:rsidR="008D4A9C" w:rsidRDefault="00030033">
      <w:pPr>
        <w:pStyle w:val="FootnoteText"/>
        <w:jc w:val="both"/>
        <w:rPr>
          <w:rFonts w:ascii="Times New Roman" w:hAnsi="Times New Roman"/>
        </w:rPr>
      </w:pPr>
      <w:r>
        <w:rPr>
          <w:rStyle w:val="FootnoteCharacters"/>
        </w:rPr>
        <w:footnoteRef/>
      </w:r>
      <w:r>
        <w:rPr>
          <w:rFonts w:ascii="Times New Roman" w:hAnsi="Times New Roman"/>
        </w:rPr>
        <w:t xml:space="preserve"> Съгласно чл. 1, пар. 4, буква „а)</w:t>
      </w:r>
      <w:r>
        <w:rPr>
          <w:rFonts w:ascii="Times New Roman" w:hAnsi="Times New Roman"/>
          <w:lang w:val="en-US"/>
        </w:rPr>
        <w:t>”</w:t>
      </w:r>
      <w:r>
        <w:rPr>
          <w:rFonts w:ascii="Times New Roman" w:hAnsi="Times New Roman"/>
        </w:rPr>
        <w:t xml:space="preserve"> от Регламент на Комисията (ЕС) № 651/2014</w:t>
      </w:r>
      <w:r>
        <w:rPr>
          <w:rFonts w:ascii="Times New Roman" w:hAnsi="Times New Roman"/>
          <w:lang w:val="en-US"/>
        </w:rPr>
        <w:t xml:space="preserve"> </w:t>
      </w:r>
      <w:r>
        <w:rPr>
          <w:rFonts w:ascii="Times New Roman" w:hAnsi="Times New Roman"/>
        </w:rPr>
        <w:t>г.</w:t>
      </w:r>
    </w:p>
  </w:footnote>
  <w:footnote w:id="5">
    <w:p w:rsidR="008D4A9C" w:rsidRDefault="00030033">
      <w:pPr>
        <w:pStyle w:val="FootnoteText"/>
        <w:jc w:val="both"/>
        <w:rPr>
          <w:rFonts w:ascii="Times New Roman" w:hAnsi="Times New Roman"/>
        </w:rPr>
      </w:pPr>
      <w:r>
        <w:rPr>
          <w:rStyle w:val="FootnoteCharacters"/>
        </w:rPr>
        <w:footnoteRef/>
      </w:r>
      <w:r>
        <w:rPr>
          <w:rFonts w:ascii="Times New Roman" w:hAnsi="Times New Roman"/>
        </w:rPr>
        <w:t xml:space="preserve"> Проверка по отношение на обстоятелството дали кандидатите (и на ниво група) попадат в определението за затруднено положение по чл. 2, пар. 18 от Регламент (ЕС) № 651/2014 ще бъде извършвана спрямо всички кандидати съгласно данни от Декларацията за държавна/минимална помощ (Приложение 3), наличната информация в публичните регистри (вкл. ТР</w:t>
      </w:r>
      <w:r>
        <w:rPr>
          <w:rFonts w:ascii="Times New Roman" w:hAnsi="Times New Roman"/>
          <w:sz w:val="22"/>
          <w:szCs w:val="22"/>
        </w:rPr>
        <w:t xml:space="preserve"> </w:t>
      </w:r>
      <w:r>
        <w:rPr>
          <w:rFonts w:ascii="Times New Roman" w:hAnsi="Times New Roman"/>
        </w:rPr>
        <w:t>и регистъра на ЮЛНЦ) и Годишен отчет за дейността за последните три приключени финансови  години.</w:t>
      </w:r>
    </w:p>
  </w:footnote>
  <w:footnote w:id="6">
    <w:p w:rsidR="008D4A9C" w:rsidRDefault="00030033">
      <w:pPr>
        <w:pStyle w:val="FootnoteText"/>
        <w:jc w:val="both"/>
        <w:rPr>
          <w:rFonts w:ascii="Times New Roman" w:hAnsi="Times New Roman"/>
        </w:rPr>
      </w:pPr>
      <w:r>
        <w:rPr>
          <w:rStyle w:val="FootnoteCharacters"/>
        </w:rPr>
        <w:footnoteRef/>
      </w:r>
      <w:r>
        <w:rPr>
          <w:rFonts w:ascii="Times New Roman" w:hAnsi="Times New Roman"/>
        </w:rPr>
        <w:t xml:space="preserve"> Съгласно данните от Счетоводния баланс на предприятието-кандидат, част от Годишния отчет за дейността за последната приключена финансова година, подаден към НСИ.</w:t>
      </w:r>
    </w:p>
  </w:footnote>
  <w:footnote w:id="7">
    <w:p w:rsidR="008D4A9C" w:rsidRDefault="00030033">
      <w:pPr>
        <w:pStyle w:val="FootnoteText"/>
        <w:rPr>
          <w:rFonts w:ascii="Times New Roman" w:hAnsi="Times New Roman"/>
        </w:rPr>
      </w:pPr>
      <w:r>
        <w:rPr>
          <w:rStyle w:val="FootnoteCharacters"/>
        </w:rPr>
        <w:footnoteRef/>
      </w:r>
      <w:r>
        <w:rPr>
          <w:rFonts w:ascii="Times New Roman" w:hAnsi="Times New Roman"/>
        </w:rPr>
        <w:t xml:space="preserve"> Съгласно чл. 1, пар. 2, буква „в)</w:t>
      </w:r>
      <w:r>
        <w:rPr>
          <w:rFonts w:ascii="Times New Roman" w:hAnsi="Times New Roman"/>
          <w:lang w:val="en-US"/>
        </w:rPr>
        <w:t>”</w:t>
      </w:r>
      <w:r>
        <w:rPr>
          <w:rFonts w:ascii="Times New Roman" w:hAnsi="Times New Roman"/>
        </w:rPr>
        <w:t xml:space="preserve"> от Регламент на Комисията (ЕС) № 651/2014</w:t>
      </w:r>
      <w:r>
        <w:rPr>
          <w:rFonts w:ascii="Times New Roman" w:hAnsi="Times New Roman"/>
          <w:lang w:val="en-US"/>
        </w:rPr>
        <w:t xml:space="preserve"> </w:t>
      </w:r>
      <w:r>
        <w:rPr>
          <w:rFonts w:ascii="Times New Roman" w:hAnsi="Times New Roman"/>
        </w:rPr>
        <w:t>г.</w:t>
      </w:r>
    </w:p>
  </w:footnote>
  <w:footnote w:id="8">
    <w:p w:rsidR="008D4A9C" w:rsidRDefault="00030033">
      <w:pPr>
        <w:pStyle w:val="FootnoteText"/>
        <w:rPr>
          <w:rFonts w:ascii="Times New Roman" w:hAnsi="Times New Roman"/>
        </w:rPr>
      </w:pPr>
      <w:r>
        <w:rPr>
          <w:rStyle w:val="FootnoteCharacters"/>
        </w:rPr>
        <w:footnoteRef/>
      </w:r>
      <w:r>
        <w:rPr>
          <w:rFonts w:ascii="Times New Roman" w:hAnsi="Times New Roman"/>
        </w:rPr>
        <w:t xml:space="preserve"> Съгласно чл. 1, пар. 2, буква „г)</w:t>
      </w:r>
      <w:r>
        <w:rPr>
          <w:rFonts w:ascii="Times New Roman" w:hAnsi="Times New Roman"/>
          <w:lang w:val="en-US"/>
        </w:rPr>
        <w:t>”</w:t>
      </w:r>
      <w:r>
        <w:rPr>
          <w:rFonts w:ascii="Times New Roman" w:hAnsi="Times New Roman"/>
        </w:rPr>
        <w:t xml:space="preserve"> от Регламент на Комисията (ЕС) № 651/2014</w:t>
      </w:r>
      <w:r>
        <w:rPr>
          <w:rFonts w:ascii="Times New Roman" w:hAnsi="Times New Roman"/>
          <w:lang w:val="en-US"/>
        </w:rPr>
        <w:t xml:space="preserve"> </w:t>
      </w:r>
      <w:r>
        <w:rPr>
          <w:rFonts w:ascii="Times New Roman" w:hAnsi="Times New Roman"/>
        </w:rPr>
        <w:t>г.</w:t>
      </w:r>
    </w:p>
  </w:footnote>
  <w:footnote w:id="9">
    <w:p w:rsidR="007E6ABC" w:rsidRDefault="007E6ABC" w:rsidP="007E6ABC">
      <w:pPr>
        <w:pStyle w:val="FootnoteText"/>
        <w:jc w:val="both"/>
      </w:pPr>
      <w:r>
        <w:rPr>
          <w:rStyle w:val="FootnoteCharacters"/>
        </w:rPr>
        <w:footnoteRef/>
      </w:r>
      <w:r>
        <w:t xml:space="preserve"> </w:t>
      </w:r>
      <w:r>
        <w:rPr>
          <w:sz w:val="16"/>
          <w:szCs w:val="16"/>
        </w:rPr>
        <w:t>При окончателно плащане Управляващият орган извършва проверка</w:t>
      </w:r>
      <w:r>
        <w:rPr>
          <w:bCs/>
          <w:sz w:val="16"/>
          <w:szCs w:val="16"/>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Pr>
          <w:sz w:val="16"/>
          <w:szCs w:val="16"/>
        </w:rPr>
        <w:t xml:space="preserve"> </w:t>
      </w:r>
      <w:r>
        <w:rPr>
          <w:bCs/>
          <w:sz w:val="16"/>
          <w:szCs w:val="16"/>
        </w:rPr>
        <w:t>PV = FV/(1+i)</w:t>
      </w:r>
      <w:r>
        <w:rPr>
          <w:bCs/>
          <w:sz w:val="16"/>
          <w:szCs w:val="16"/>
          <w:vertAlign w:val="superscript"/>
          <w:lang w:val="en-US"/>
        </w:rPr>
        <w:t>t</w:t>
      </w:r>
      <w:r>
        <w:rPr>
          <w:bCs/>
          <w:sz w:val="16"/>
          <w:szCs w:val="16"/>
        </w:rPr>
        <w:t xml:space="preserve"> , където PV е сконтирана стойност, FV е реална стойност,  i е лихвеният процент, а t – периода на изпълнение в години.</w:t>
      </w:r>
    </w:p>
  </w:footnote>
  <w:footnote w:id="10">
    <w:p w:rsidR="00E32D8E" w:rsidRPr="00ED7F28" w:rsidRDefault="00E32D8E" w:rsidP="00E32D8E">
      <w:pPr>
        <w:pStyle w:val="FootnoteText"/>
        <w:jc w:val="both"/>
      </w:pPr>
      <w:r>
        <w:rPr>
          <w:rStyle w:val="FootnoteReference"/>
        </w:rPr>
        <w:footnoteRef/>
      </w:r>
      <w:r>
        <w:t xml:space="preserve"> </w:t>
      </w:r>
      <w:r w:rsidRPr="00ED7F28">
        <w:rPr>
          <w:rFonts w:ascii="Times New Roman" w:hAnsi="Times New Roman"/>
        </w:rPr>
        <w:t>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 28.12.2013 г., стр. 1</w:t>
      </w:r>
    </w:p>
  </w:footnote>
  <w:footnote w:id="11">
    <w:p w:rsidR="00E9745D" w:rsidRPr="00ED7F28" w:rsidRDefault="00E9745D" w:rsidP="00E9745D">
      <w:pPr>
        <w:pStyle w:val="FootnoteText"/>
        <w:jc w:val="both"/>
        <w:rPr>
          <w:rFonts w:ascii="Times New Roman" w:hAnsi="Times New Roman"/>
        </w:rPr>
      </w:pPr>
      <w:r w:rsidRPr="00ED7F28">
        <w:rPr>
          <w:rStyle w:val="FootnoteReference"/>
        </w:rPr>
        <w:footnoteRef/>
      </w:r>
      <w:r w:rsidRPr="00ED7F28">
        <w:t xml:space="preserve"> </w:t>
      </w:r>
      <w:r w:rsidRPr="00ED7F28">
        <w:rPr>
          <w:rFonts w:ascii="Times New Roman" w:hAnsi="Times New Roman"/>
        </w:rPr>
        <w:t>Съгласно чл. 2, пар. 9 от Регламент (ЕО) № 651/2014, това е производство на продукти на почвата и на животновъдството, изброени в Приложение № I към Договора за функционирането на Европейския съюз</w:t>
      </w:r>
      <w:r w:rsidR="00230CCD" w:rsidRPr="00ED7F28">
        <w:rPr>
          <w:rFonts w:ascii="Times New Roman" w:hAnsi="Times New Roman"/>
        </w:rPr>
        <w:t xml:space="preserve">, съгласно </w:t>
      </w:r>
      <w:r w:rsidR="00BF580C" w:rsidRPr="00ED7F28">
        <w:rPr>
          <w:rFonts w:ascii="Times New Roman" w:hAnsi="Times New Roman"/>
        </w:rPr>
        <w:t>Приложение 3д</w:t>
      </w:r>
      <w:r w:rsidRPr="00ED7F28">
        <w:rPr>
          <w:rFonts w:ascii="Times New Roman" w:hAnsi="Times New Roman"/>
        </w:rPr>
        <w:t>, без да се извършват никакви по-нататъшни операции, с които се променя естеството на тези продукти</w:t>
      </w:r>
    </w:p>
  </w:footnote>
  <w:footnote w:id="12">
    <w:p w:rsidR="00E757AD" w:rsidRPr="00ED7F28" w:rsidRDefault="00030033" w:rsidP="00E757AD">
      <w:pPr>
        <w:pStyle w:val="FootnoteText"/>
        <w:jc w:val="both"/>
        <w:rPr>
          <w:rFonts w:ascii="Times New Roman" w:hAnsi="Times New Roman"/>
        </w:rPr>
      </w:pPr>
      <w:r w:rsidRPr="00ED7F28">
        <w:rPr>
          <w:rStyle w:val="FootnoteCharacters"/>
        </w:rPr>
        <w:footnoteRef/>
      </w:r>
      <w:r w:rsidRPr="00ED7F28">
        <w:t xml:space="preserve"> </w:t>
      </w:r>
      <w:r w:rsidR="00E757AD" w:rsidRPr="00ED7F28">
        <w:rPr>
          <w:rFonts w:ascii="Times New Roman" w:hAnsi="Times New Roman"/>
        </w:rPr>
        <w:t>„преработка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p w:rsidR="008D4A9C" w:rsidRPr="00ED7F28" w:rsidRDefault="00030033">
      <w:pPr>
        <w:pStyle w:val="FootnoteText"/>
        <w:jc w:val="both"/>
      </w:pPr>
      <w:r w:rsidRPr="00ED7F28">
        <w:rPr>
          <w:rFonts w:ascii="Times New Roman" w:hAnsi="Times New Roman"/>
        </w:rPr>
        <w:t>.</w:t>
      </w:r>
    </w:p>
  </w:footnote>
  <w:footnote w:id="13">
    <w:p w:rsidR="008D4A9C" w:rsidRPr="00ED7F28" w:rsidRDefault="00030033">
      <w:pPr>
        <w:pStyle w:val="FootnoteText"/>
        <w:jc w:val="both"/>
        <w:rPr>
          <w:rFonts w:ascii="Times New Roman" w:hAnsi="Times New Roman"/>
        </w:rPr>
      </w:pPr>
      <w:r w:rsidRPr="00ED7F28">
        <w:rPr>
          <w:rStyle w:val="FootnoteCharacters"/>
        </w:rPr>
        <w:footnoteRef/>
      </w:r>
      <w:r w:rsidRPr="00ED7F28">
        <w:rPr>
          <w:rFonts w:ascii="Times New Roman" w:hAnsi="Times New Roman"/>
        </w:rPr>
        <w:t xml:space="preserve"> Съгласно чл. 1, пар. 4, буква „а)” от Регламент на Комисията (ЕС) № 651/2014 г.</w:t>
      </w:r>
    </w:p>
  </w:footnote>
  <w:footnote w:id="14">
    <w:p w:rsidR="008D4A9C" w:rsidRPr="00ED7F28" w:rsidRDefault="00030033">
      <w:pPr>
        <w:pStyle w:val="FootnoteText"/>
        <w:jc w:val="both"/>
        <w:rPr>
          <w:rFonts w:ascii="Times New Roman" w:hAnsi="Times New Roman"/>
        </w:rPr>
      </w:pPr>
      <w:r w:rsidRPr="00ED7F28">
        <w:rPr>
          <w:rStyle w:val="FootnoteCharacters"/>
        </w:rPr>
        <w:footnoteRef/>
      </w:r>
      <w:r w:rsidRPr="00ED7F28">
        <w:rPr>
          <w:rFonts w:ascii="Times New Roman" w:hAnsi="Times New Roman"/>
        </w:rPr>
        <w:t xml:space="preserve"> Проверка по отношение на обстоятелството дали кандидатите (и на ниво група) попадат в определението за затруднено положение по чл. 2, пар. 18 от Регламент (ЕС) № 651/2014 ще бъде извършвана спрямо всички кандидати съгласно данни от Декларацията за държавна/минимална помощ (Приложение 3), наличната информация в публичните регистри (вкл. ТР</w:t>
      </w:r>
      <w:r w:rsidRPr="00ED7F28">
        <w:rPr>
          <w:rFonts w:ascii="Times New Roman" w:hAnsi="Times New Roman"/>
          <w:sz w:val="22"/>
          <w:szCs w:val="22"/>
        </w:rPr>
        <w:t xml:space="preserve"> </w:t>
      </w:r>
      <w:r w:rsidRPr="00ED7F28">
        <w:rPr>
          <w:rFonts w:ascii="Times New Roman" w:hAnsi="Times New Roman"/>
        </w:rPr>
        <w:t>и регистъра на ЮЛНЦ) и Годишен отчет за дейността за последните три приключени фина</w:t>
      </w:r>
      <w:r w:rsidR="00ED7F28">
        <w:rPr>
          <w:rFonts w:ascii="Times New Roman" w:hAnsi="Times New Roman"/>
        </w:rPr>
        <w:t>нсови  години (2021, 2022 и 2023</w:t>
      </w:r>
      <w:r w:rsidRPr="00ED7F28">
        <w:rPr>
          <w:rFonts w:ascii="Times New Roman" w:hAnsi="Times New Roman"/>
        </w:rPr>
        <w:t xml:space="preserve"> г.).</w:t>
      </w:r>
    </w:p>
  </w:footnote>
  <w:footnote w:id="15">
    <w:p w:rsidR="008D4A9C" w:rsidRDefault="00030033">
      <w:pPr>
        <w:pStyle w:val="FootnoteText"/>
        <w:jc w:val="both"/>
        <w:rPr>
          <w:rFonts w:ascii="Times New Roman" w:hAnsi="Times New Roman"/>
        </w:rPr>
      </w:pPr>
      <w:r>
        <w:rPr>
          <w:rStyle w:val="FootnoteCharacters"/>
        </w:rPr>
        <w:footnoteRef/>
      </w:r>
      <w:r>
        <w:rPr>
          <w:rFonts w:ascii="Times New Roman" w:hAnsi="Times New Roman"/>
        </w:rPr>
        <w:t xml:space="preserve"> Съгласно данните от Счетоводния баланс на предприятието-кандидат, част от Годишния отчет за дейността за последната приключена финансова година, подаден към НСИ.</w:t>
      </w:r>
    </w:p>
  </w:footnote>
  <w:footnote w:id="16">
    <w:p w:rsidR="008D4A9C" w:rsidRDefault="00030033">
      <w:pPr>
        <w:pStyle w:val="FootnoteText"/>
        <w:rPr>
          <w:rFonts w:ascii="Times New Roman" w:hAnsi="Times New Roman"/>
        </w:rPr>
      </w:pPr>
      <w:r>
        <w:rPr>
          <w:rStyle w:val="FootnoteCharacters"/>
        </w:rPr>
        <w:footnoteRef/>
      </w:r>
      <w:r>
        <w:rPr>
          <w:rFonts w:ascii="Times New Roman" w:hAnsi="Times New Roman"/>
        </w:rPr>
        <w:t xml:space="preserve"> Съгласно чл. 1, пар. 2, буква „в)</w:t>
      </w:r>
      <w:r>
        <w:rPr>
          <w:rFonts w:ascii="Times New Roman" w:hAnsi="Times New Roman"/>
          <w:lang w:val="en-US"/>
        </w:rPr>
        <w:t>”</w:t>
      </w:r>
      <w:r>
        <w:rPr>
          <w:rFonts w:ascii="Times New Roman" w:hAnsi="Times New Roman"/>
        </w:rPr>
        <w:t xml:space="preserve"> от Регламент на Комисията (ЕС) № 651/2014</w:t>
      </w:r>
      <w:r>
        <w:rPr>
          <w:rFonts w:ascii="Times New Roman" w:hAnsi="Times New Roman"/>
          <w:lang w:val="en-US"/>
        </w:rPr>
        <w:t xml:space="preserve"> </w:t>
      </w:r>
      <w:r>
        <w:rPr>
          <w:rFonts w:ascii="Times New Roman" w:hAnsi="Times New Roman"/>
        </w:rPr>
        <w:t>г.</w:t>
      </w:r>
    </w:p>
  </w:footnote>
  <w:footnote w:id="17">
    <w:p w:rsidR="008D4A9C" w:rsidRDefault="00030033">
      <w:pPr>
        <w:pStyle w:val="FootnoteText"/>
        <w:rPr>
          <w:rFonts w:ascii="Times New Roman" w:hAnsi="Times New Roman"/>
        </w:rPr>
      </w:pPr>
      <w:r>
        <w:rPr>
          <w:rStyle w:val="FootnoteCharacters"/>
        </w:rPr>
        <w:footnoteRef/>
      </w:r>
      <w:r>
        <w:rPr>
          <w:rFonts w:ascii="Times New Roman" w:hAnsi="Times New Roman"/>
        </w:rPr>
        <w:t xml:space="preserve"> Съгласно чл. 1, пар. 2, буква „г)</w:t>
      </w:r>
      <w:r>
        <w:rPr>
          <w:rFonts w:ascii="Times New Roman" w:hAnsi="Times New Roman"/>
          <w:lang w:val="en-US"/>
        </w:rPr>
        <w:t>”</w:t>
      </w:r>
      <w:r>
        <w:rPr>
          <w:rFonts w:ascii="Times New Roman" w:hAnsi="Times New Roman"/>
        </w:rPr>
        <w:t xml:space="preserve"> от Регламент на Комисията (ЕС) № 651/2014</w:t>
      </w:r>
      <w:r>
        <w:rPr>
          <w:rFonts w:ascii="Times New Roman" w:hAnsi="Times New Roman"/>
          <w:lang w:val="en-US"/>
        </w:rPr>
        <w:t xml:space="preserve"> </w:t>
      </w:r>
      <w:r>
        <w:rPr>
          <w:rFonts w:ascii="Times New Roman" w:hAnsi="Times New Roman"/>
        </w:rPr>
        <w:t>г.</w:t>
      </w:r>
    </w:p>
  </w:footnote>
  <w:footnote w:id="18">
    <w:p w:rsidR="008D4A9C" w:rsidRDefault="00030033">
      <w:pPr>
        <w:pStyle w:val="FootnoteText"/>
        <w:jc w:val="both"/>
      </w:pPr>
      <w:r>
        <w:rPr>
          <w:rStyle w:val="FootnoteCharacters"/>
        </w:rPr>
        <w:footnoteRef/>
      </w:r>
      <w:r>
        <w:t xml:space="preserve"> </w:t>
      </w:r>
      <w:r>
        <w:rPr>
          <w:rFonts w:ascii="Times New Roman" w:hAnsi="Times New Roman"/>
        </w:rPr>
        <w:t xml:space="preserve">съгласно член 2, параграф 23 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правнообвързващ документ за поръчка за оборудване или всеки друг ангажимент, който прави инвестицията необратима. Купуването на земя и </w:t>
      </w:r>
      <w:r>
        <w:rPr>
          <w:rFonts w:ascii="Times New Roman" w:hAnsi="Times New Roman"/>
          <w:b/>
        </w:rPr>
        <w:t>подготвителните дейности</w:t>
      </w:r>
      <w:r>
        <w:rPr>
          <w:rFonts w:ascii="Times New Roman" w:hAnsi="Times New Roman"/>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304" w:type="dxa"/>
      <w:tblLayout w:type="fixed"/>
      <w:tblCellMar>
        <w:left w:w="70" w:type="dxa"/>
        <w:right w:w="70" w:type="dxa"/>
      </w:tblCellMar>
      <w:tblLook w:val="0000" w:firstRow="0" w:lastRow="0" w:firstColumn="0" w:lastColumn="0" w:noHBand="0" w:noVBand="0"/>
    </w:tblPr>
    <w:tblGrid>
      <w:gridCol w:w="3303"/>
      <w:gridCol w:w="2873"/>
      <w:gridCol w:w="3340"/>
    </w:tblGrid>
    <w:tr w:rsidR="008D4A9C">
      <w:trPr>
        <w:trHeight w:val="684"/>
      </w:trPr>
      <w:tc>
        <w:tcPr>
          <w:tcW w:w="3303" w:type="dxa"/>
        </w:tcPr>
        <w:p w:rsidR="008D4A9C" w:rsidRDefault="00030033">
          <w:pPr>
            <w:widowControl w:val="0"/>
            <w:rPr>
              <w:b/>
              <w:sz w:val="18"/>
              <w:szCs w:val="18"/>
            </w:rPr>
          </w:pPr>
          <w:r>
            <w:rPr>
              <w:noProof/>
              <w:lang w:val="en-US"/>
            </w:rPr>
            <w:drawing>
              <wp:anchor distT="0" distB="0" distL="114300" distR="114300" simplePos="0" relativeHeight="251660288" behindDoc="1" locked="0" layoutInCell="1" allowOverlap="1">
                <wp:simplePos x="0" y="0"/>
                <wp:positionH relativeFrom="column">
                  <wp:posOffset>-635</wp:posOffset>
                </wp:positionH>
                <wp:positionV relativeFrom="paragraph">
                  <wp:posOffset>253298</wp:posOffset>
                </wp:positionV>
                <wp:extent cx="2009775" cy="46609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09775" cy="466090"/>
                        </a:xfrm>
                        <a:prstGeom prst="rect">
                          <a:avLst/>
                        </a:prstGeom>
                      </pic:spPr>
                    </pic:pic>
                  </a:graphicData>
                </a:graphic>
              </wp:anchor>
            </w:drawing>
          </w:r>
        </w:p>
      </w:tc>
      <w:tc>
        <w:tcPr>
          <w:tcW w:w="2873" w:type="dxa"/>
        </w:tcPr>
        <w:p w:rsidR="008D4A9C" w:rsidRDefault="008D4A9C">
          <w:pPr>
            <w:widowControl w:val="0"/>
            <w:jc w:val="center"/>
          </w:pPr>
        </w:p>
        <w:p w:rsidR="008D4A9C" w:rsidRDefault="008D4A9C">
          <w:pPr>
            <w:widowControl w:val="0"/>
            <w:jc w:val="center"/>
          </w:pPr>
        </w:p>
        <w:p w:rsidR="008D4A9C" w:rsidRDefault="008D4A9C">
          <w:pPr>
            <w:widowControl w:val="0"/>
            <w:jc w:val="center"/>
          </w:pPr>
        </w:p>
      </w:tc>
      <w:tc>
        <w:tcPr>
          <w:tcW w:w="3340" w:type="dxa"/>
        </w:tcPr>
        <w:p w:rsidR="008D4A9C" w:rsidRDefault="00677B4C">
          <w:pPr>
            <w:widowControl w:val="0"/>
            <w:jc w:val="center"/>
          </w:pPr>
          <w:r w:rsidRPr="00C635E0">
            <w:rPr>
              <w:noProof/>
              <w:lang w:val="en-US"/>
            </w:rPr>
            <w:drawing>
              <wp:anchor distT="0" distB="0" distL="114300" distR="114300" simplePos="0" relativeHeight="251659264" behindDoc="1" locked="0" layoutInCell="0" allowOverlap="1" wp14:anchorId="215AF0AD" wp14:editId="38CFD0B3">
                <wp:simplePos x="0" y="0"/>
                <wp:positionH relativeFrom="column">
                  <wp:posOffset>1206745</wp:posOffset>
                </wp:positionH>
                <wp:positionV relativeFrom="paragraph">
                  <wp:posOffset>37469</wp:posOffset>
                </wp:positionV>
                <wp:extent cx="838835" cy="770596"/>
                <wp:effectExtent l="0" t="0" r="0" b="0"/>
                <wp:wrapNone/>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pic:cNvPicPr>
                          <a:picLocks noChangeAspect="1" noChangeArrowheads="1"/>
                        </pic:cNvPicPr>
                      </pic:nvPicPr>
                      <pic:blipFill>
                        <a:blip r:embed="rId2"/>
                        <a:stretch>
                          <a:fillRect/>
                        </a:stretch>
                      </pic:blipFill>
                      <pic:spPr bwMode="auto">
                        <a:xfrm>
                          <a:off x="0" y="0"/>
                          <a:ext cx="838835" cy="770596"/>
                        </a:xfrm>
                        <a:prstGeom prst="rect">
                          <a:avLst/>
                        </a:prstGeom>
                      </pic:spPr>
                    </pic:pic>
                  </a:graphicData>
                </a:graphic>
                <wp14:sizeRelH relativeFrom="margin">
                  <wp14:pctWidth>0</wp14:pctWidth>
                </wp14:sizeRelH>
                <wp14:sizeRelV relativeFrom="margin">
                  <wp14:pctHeight>0</wp14:pctHeight>
                </wp14:sizeRelV>
              </wp:anchor>
            </w:drawing>
          </w:r>
        </w:p>
      </w:tc>
    </w:tr>
  </w:tbl>
  <w:p w:rsidR="008D4A9C" w:rsidRDefault="008D4A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F4A93"/>
    <w:multiLevelType w:val="hybridMultilevel"/>
    <w:tmpl w:val="03E49F8C"/>
    <w:lvl w:ilvl="0" w:tplc="8DB4DA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377DF"/>
    <w:multiLevelType w:val="hybridMultilevel"/>
    <w:tmpl w:val="F86AA8C4"/>
    <w:lvl w:ilvl="0" w:tplc="F76A2A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DD61D8"/>
    <w:multiLevelType w:val="multilevel"/>
    <w:tmpl w:val="C380A9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423552E"/>
    <w:multiLevelType w:val="multilevel"/>
    <w:tmpl w:val="0DDADFB4"/>
    <w:lvl w:ilvl="0">
      <w:start w:val="1"/>
      <w:numFmt w:val="bullet"/>
      <w:lvlText w:val=""/>
      <w:lvlJc w:val="left"/>
      <w:pPr>
        <w:tabs>
          <w:tab w:val="num" w:pos="0"/>
        </w:tabs>
        <w:ind w:left="1068" w:hanging="360"/>
      </w:pPr>
      <w:rPr>
        <w:rFonts w:ascii="Wingdings" w:hAnsi="Wingdings" w:cs="Wingding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 w15:restartNumberingAfterBreak="0">
    <w:nsid w:val="5F5504D3"/>
    <w:multiLevelType w:val="multilevel"/>
    <w:tmpl w:val="7BA6F2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0540456"/>
    <w:multiLevelType w:val="multilevel"/>
    <w:tmpl w:val="FC4A421A"/>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7A8337D3"/>
    <w:multiLevelType w:val="multilevel"/>
    <w:tmpl w:val="A7BEB3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5"/>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A9C"/>
    <w:rsid w:val="00000A4C"/>
    <w:rsid w:val="00000BDA"/>
    <w:rsid w:val="00030033"/>
    <w:rsid w:val="00045546"/>
    <w:rsid w:val="000632A5"/>
    <w:rsid w:val="00072E21"/>
    <w:rsid w:val="00230CCD"/>
    <w:rsid w:val="002C6872"/>
    <w:rsid w:val="003A053B"/>
    <w:rsid w:val="004D40AA"/>
    <w:rsid w:val="00573E84"/>
    <w:rsid w:val="005B40D6"/>
    <w:rsid w:val="005D47D2"/>
    <w:rsid w:val="005E2744"/>
    <w:rsid w:val="00677B4C"/>
    <w:rsid w:val="007E63C4"/>
    <w:rsid w:val="007E6ABC"/>
    <w:rsid w:val="00843611"/>
    <w:rsid w:val="008566E4"/>
    <w:rsid w:val="008D4A9C"/>
    <w:rsid w:val="008D79BC"/>
    <w:rsid w:val="00A8602C"/>
    <w:rsid w:val="00BB0826"/>
    <w:rsid w:val="00BE5F7C"/>
    <w:rsid w:val="00BF1658"/>
    <w:rsid w:val="00BF580C"/>
    <w:rsid w:val="00C635E0"/>
    <w:rsid w:val="00CA6F9B"/>
    <w:rsid w:val="00CC1F0B"/>
    <w:rsid w:val="00CD2C68"/>
    <w:rsid w:val="00CD7A64"/>
    <w:rsid w:val="00D10409"/>
    <w:rsid w:val="00D1044D"/>
    <w:rsid w:val="00D2756E"/>
    <w:rsid w:val="00E06831"/>
    <w:rsid w:val="00E079F6"/>
    <w:rsid w:val="00E32D8E"/>
    <w:rsid w:val="00E64FA0"/>
    <w:rsid w:val="00E757AD"/>
    <w:rsid w:val="00E95C8E"/>
    <w:rsid w:val="00E9745D"/>
    <w:rsid w:val="00EC16C4"/>
    <w:rsid w:val="00ED7F28"/>
    <w:rsid w:val="00EF0DAE"/>
    <w:rsid w:val="00F00D83"/>
    <w:rsid w:val="00F413A7"/>
    <w:rsid w:val="00F57031"/>
    <w:rsid w:val="00FA0A5F"/>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13C571-1332-4147-A4F2-2974C9D6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BA8"/>
    <w:pPr>
      <w:spacing w:after="160" w:line="259" w:lineRule="auto"/>
    </w:pPr>
  </w:style>
  <w:style w:type="paragraph" w:styleId="Heading1">
    <w:name w:val="heading 1"/>
    <w:basedOn w:val="Normal"/>
    <w:next w:val="Normal"/>
    <w:link w:val="Heading1Char"/>
    <w:qFormat/>
    <w:rsid w:val="00A429D6"/>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
    <w:uiPriority w:val="99"/>
    <w:qFormat/>
    <w:rsid w:val="00C2015B"/>
    <w:rPr>
      <w:rFonts w:ascii="Arial" w:hAnsi="Arial" w:cs="Times New Roman"/>
      <w:sz w:val="20"/>
      <w:szCs w:val="20"/>
    </w:rPr>
  </w:style>
  <w:style w:type="character" w:customStyle="1" w:styleId="HeaderChar">
    <w:name w:val="Header Char"/>
    <w:basedOn w:val="DefaultParagraphFont"/>
    <w:link w:val="Header"/>
    <w:uiPriority w:val="99"/>
    <w:qFormat/>
    <w:rsid w:val="00EF7BBD"/>
  </w:style>
  <w:style w:type="character" w:customStyle="1" w:styleId="FooterChar">
    <w:name w:val="Footer Char"/>
    <w:basedOn w:val="DefaultParagraphFont"/>
    <w:link w:val="Footer"/>
    <w:uiPriority w:val="99"/>
    <w:qFormat/>
    <w:rsid w:val="00EF7BBD"/>
  </w:style>
  <w:style w:type="character" w:customStyle="1" w:styleId="FootnoteCharacters">
    <w:name w:val="Footnote Characters"/>
    <w:link w:val="SUPERSChar"/>
    <w:unhideWhenUsed/>
    <w:qFormat/>
    <w:rsid w:val="00FC6DBB"/>
    <w:rPr>
      <w:vertAlign w:val="superscript"/>
    </w:rPr>
  </w:style>
  <w:style w:type="character" w:styleId="FootnoteReference">
    <w:name w:val="footnote reference"/>
    <w:rPr>
      <w:vertAlign w:val="superscript"/>
    </w:rPr>
  </w:style>
  <w:style w:type="character" w:customStyle="1" w:styleId="BalloonTextChar">
    <w:name w:val="Balloon Text Char"/>
    <w:basedOn w:val="DefaultParagraphFont"/>
    <w:link w:val="BalloonText"/>
    <w:uiPriority w:val="99"/>
    <w:semiHidden/>
    <w:qFormat/>
    <w:rsid w:val="00CD41F0"/>
    <w:rPr>
      <w:rFonts w:ascii="Segoe UI" w:hAnsi="Segoe UI" w:cs="Segoe UI"/>
      <w:sz w:val="18"/>
      <w:szCs w:val="18"/>
    </w:rPr>
  </w:style>
  <w:style w:type="character" w:styleId="CommentReference">
    <w:name w:val="annotation reference"/>
    <w:basedOn w:val="DefaultParagraphFont"/>
    <w:unhideWhenUsed/>
    <w:qFormat/>
    <w:rsid w:val="002D27DB"/>
    <w:rPr>
      <w:sz w:val="16"/>
      <w:szCs w:val="16"/>
    </w:rPr>
  </w:style>
  <w:style w:type="character" w:customStyle="1" w:styleId="CommentTextChar">
    <w:name w:val="Comment Text Char"/>
    <w:basedOn w:val="DefaultParagraphFont"/>
    <w:link w:val="CommentText"/>
    <w:uiPriority w:val="99"/>
    <w:semiHidden/>
    <w:qFormat/>
    <w:rsid w:val="002D27DB"/>
    <w:rPr>
      <w:sz w:val="20"/>
      <w:szCs w:val="20"/>
    </w:rPr>
  </w:style>
  <w:style w:type="character" w:customStyle="1" w:styleId="CommentSubjectChar">
    <w:name w:val="Comment Subject Char"/>
    <w:basedOn w:val="CommentTextChar"/>
    <w:link w:val="CommentSubject"/>
    <w:uiPriority w:val="99"/>
    <w:semiHidden/>
    <w:qFormat/>
    <w:rsid w:val="002D27DB"/>
    <w:rPr>
      <w:b/>
      <w:bCs/>
      <w:sz w:val="20"/>
      <w:szCs w:val="20"/>
    </w:rPr>
  </w:style>
  <w:style w:type="character" w:customStyle="1" w:styleId="Heading1Char">
    <w:name w:val="Heading 1 Char"/>
    <w:basedOn w:val="DefaultParagraphFont"/>
    <w:link w:val="Heading1"/>
    <w:qFormat/>
    <w:rsid w:val="00A429D6"/>
    <w:rPr>
      <w:rFonts w:asciiTheme="majorHAnsi" w:eastAsiaTheme="majorEastAsia" w:hAnsiTheme="majorHAnsi" w:cstheme="majorBidi"/>
      <w:b/>
      <w:bCs/>
      <w:color w:val="2E74B5" w:themeColor="accent1" w:themeShade="BF"/>
      <w:sz w:val="28"/>
      <w:szCs w:val="28"/>
      <w:lang w:val="en-GB"/>
    </w:rPr>
  </w:style>
  <w:style w:type="character" w:customStyle="1" w:styleId="EndnoteCharacters">
    <w:name w:val="Endnote Characters"/>
    <w:qFormat/>
  </w:style>
  <w:style w:type="character" w:styleId="EndnoteReference">
    <w:name w:val="endnote reference"/>
    <w:rPr>
      <w:vertAlign w:val="superscript"/>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FootnoteText">
    <w:name w:val="footnote text"/>
    <w:basedOn w:val="Normal"/>
    <w:link w:val="FootnoteTextChar"/>
    <w:uiPriority w:val="99"/>
    <w:unhideWhenUsed/>
    <w:qFormat/>
    <w:rsid w:val="00C2015B"/>
    <w:pPr>
      <w:spacing w:after="0" w:line="240" w:lineRule="auto"/>
    </w:pPr>
    <w:rPr>
      <w:rFonts w:ascii="Arial" w:hAnsi="Arial" w:cs="Times New Roman"/>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F7BBD"/>
    <w:pPr>
      <w:tabs>
        <w:tab w:val="center" w:pos="4536"/>
        <w:tab w:val="right" w:pos="9072"/>
      </w:tabs>
      <w:spacing w:after="0" w:line="240" w:lineRule="auto"/>
    </w:pPr>
  </w:style>
  <w:style w:type="paragraph" w:styleId="Footer">
    <w:name w:val="footer"/>
    <w:basedOn w:val="Normal"/>
    <w:link w:val="FooterChar"/>
    <w:uiPriority w:val="99"/>
    <w:unhideWhenUsed/>
    <w:rsid w:val="00EF7BBD"/>
    <w:pPr>
      <w:tabs>
        <w:tab w:val="center" w:pos="4536"/>
        <w:tab w:val="right" w:pos="9072"/>
      </w:tabs>
      <w:spacing w:after="0" w:line="240" w:lineRule="auto"/>
    </w:pPr>
  </w:style>
  <w:style w:type="paragraph" w:styleId="BalloonText">
    <w:name w:val="Balloon Text"/>
    <w:basedOn w:val="Normal"/>
    <w:link w:val="BalloonTextChar"/>
    <w:uiPriority w:val="99"/>
    <w:semiHidden/>
    <w:unhideWhenUsed/>
    <w:qFormat/>
    <w:rsid w:val="00CD41F0"/>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qFormat/>
    <w:rsid w:val="002D27DB"/>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2D27DB"/>
    <w:rPr>
      <w:b/>
      <w:bCs/>
    </w:rPr>
  </w:style>
  <w:style w:type="paragraph" w:styleId="ListParagraph">
    <w:name w:val="List Paragraph"/>
    <w:basedOn w:val="Normal"/>
    <w:uiPriority w:val="34"/>
    <w:qFormat/>
    <w:rsid w:val="00347BD6"/>
    <w:pPr>
      <w:ind w:left="720"/>
      <w:contextualSpacing/>
    </w:pPr>
  </w:style>
  <w:style w:type="paragraph" w:customStyle="1" w:styleId="SUPERSChar">
    <w:name w:val="SUPERS Char"/>
    <w:basedOn w:val="Normal"/>
    <w:link w:val="FootnoteCharacters"/>
    <w:qFormat/>
    <w:rsid w:val="000B249E"/>
    <w:pPr>
      <w:spacing w:line="240" w:lineRule="exact"/>
    </w:pPr>
    <w:rPr>
      <w:vertAlign w:val="superscript"/>
    </w:rPr>
  </w:style>
  <w:style w:type="character" w:styleId="Hyperlink">
    <w:name w:val="Hyperlink"/>
    <w:basedOn w:val="DefaultParagraphFont"/>
    <w:uiPriority w:val="99"/>
    <w:unhideWhenUsed/>
    <w:rsid w:val="00E32D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2908">
      <w:bodyDiv w:val="1"/>
      <w:marLeft w:val="0"/>
      <w:marRight w:val="0"/>
      <w:marTop w:val="0"/>
      <w:marBottom w:val="0"/>
      <w:divBdr>
        <w:top w:val="none" w:sz="0" w:space="0" w:color="auto"/>
        <w:left w:val="none" w:sz="0" w:space="0" w:color="auto"/>
        <w:bottom w:val="none" w:sz="0" w:space="0" w:color="auto"/>
        <w:right w:val="none" w:sz="0" w:space="0" w:color="auto"/>
      </w:divBdr>
      <w:divsChild>
        <w:div w:id="81419304">
          <w:marLeft w:val="0"/>
          <w:marRight w:val="0"/>
          <w:marTop w:val="0"/>
          <w:marBottom w:val="0"/>
          <w:divBdr>
            <w:top w:val="none" w:sz="0" w:space="0" w:color="auto"/>
            <w:left w:val="none" w:sz="0" w:space="0" w:color="auto"/>
            <w:bottom w:val="none" w:sz="0" w:space="0" w:color="auto"/>
            <w:right w:val="none" w:sz="0" w:space="0" w:color="auto"/>
          </w:divBdr>
        </w:div>
      </w:divsChild>
    </w:div>
    <w:div w:id="1552771100">
      <w:bodyDiv w:val="1"/>
      <w:marLeft w:val="0"/>
      <w:marRight w:val="0"/>
      <w:marTop w:val="0"/>
      <w:marBottom w:val="0"/>
      <w:divBdr>
        <w:top w:val="none" w:sz="0" w:space="0" w:color="auto"/>
        <w:left w:val="none" w:sz="0" w:space="0" w:color="auto"/>
        <w:bottom w:val="none" w:sz="0" w:space="0" w:color="auto"/>
        <w:right w:val="none" w:sz="0" w:space="0" w:color="auto"/>
      </w:divBdr>
      <w:divsChild>
        <w:div w:id="2976112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0FD12-2D23-4523-AD2D-767D1CA5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19</Pages>
  <Words>7126</Words>
  <Characters>40622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TATYANA NIKOLOVA ANGELCHEVA</cp:lastModifiedBy>
  <cp:revision>8</cp:revision>
  <cp:lastPrinted>2024-12-06T11:27:00Z</cp:lastPrinted>
  <dcterms:created xsi:type="dcterms:W3CDTF">2024-12-31T09:53:00Z</dcterms:created>
  <dcterms:modified xsi:type="dcterms:W3CDTF">2025-01-22T10:14:00Z</dcterms:modified>
  <dc:language>en-US</dc:language>
</cp:coreProperties>
</file>